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ascii="仿宋_GB2312" w:eastAsia="仿宋_GB2312"/>
          <w:b/>
          <w:sz w:val="32"/>
          <w:szCs w:val="32"/>
        </w:rPr>
      </w:pPr>
      <w:r>
        <w:rPr>
          <w:rFonts w:hint="eastAsia" w:ascii="仿宋_GB2312" w:eastAsia="仿宋_GB2312"/>
          <w:b/>
          <w:sz w:val="32"/>
          <w:szCs w:val="32"/>
        </w:rPr>
        <w:t>南方医科大学深圳口腔医院（坪山）</w:t>
      </w:r>
    </w:p>
    <w:p w14:paraId="3C409232">
      <w:pPr>
        <w:spacing w:line="440" w:lineRule="exact"/>
        <w:jc w:val="center"/>
        <w:rPr>
          <w:rFonts w:ascii="仿宋_GB2312" w:eastAsia="仿宋_GB2312"/>
          <w:b/>
          <w:sz w:val="32"/>
          <w:szCs w:val="32"/>
        </w:rPr>
      </w:pPr>
      <w:bookmarkStart w:id="0" w:name="OLE_LINK13"/>
      <w:r>
        <w:rPr>
          <w:rFonts w:hint="eastAsia" w:ascii="仿宋_GB2312" w:eastAsia="仿宋_GB2312"/>
          <w:b/>
          <w:sz w:val="32"/>
          <w:szCs w:val="32"/>
        </w:rPr>
        <w:t>数据库运维项目</w:t>
      </w:r>
      <w:bookmarkEnd w:id="0"/>
      <w:r>
        <w:rPr>
          <w:rFonts w:hint="eastAsia" w:ascii="仿宋_GB2312" w:eastAsia="仿宋_GB2312"/>
          <w:b/>
          <w:sz w:val="32"/>
          <w:szCs w:val="32"/>
        </w:rPr>
        <w:t>采购需求</w:t>
      </w:r>
    </w:p>
    <w:p w14:paraId="67A19BA2">
      <w:pPr>
        <w:spacing w:line="440" w:lineRule="exact"/>
        <w:jc w:val="center"/>
      </w:pPr>
      <w:r>
        <w:rPr>
          <w:rFonts w:hint="eastAsia" w:ascii="仿宋_GB2312" w:eastAsia="仿宋_GB2312"/>
          <w:b/>
          <w:sz w:val="28"/>
          <w:szCs w:val="32"/>
        </w:rPr>
        <w:t>（项目编码：</w:t>
      </w:r>
      <w:r>
        <w:rPr>
          <w:rFonts w:ascii="仿宋_GB2312" w:eastAsia="仿宋_GB2312"/>
          <w:b/>
          <w:sz w:val="28"/>
          <w:szCs w:val="32"/>
        </w:rPr>
        <w:t>NFYKDSZKQ-XXH-FW-DBYW-20260127005</w:t>
      </w:r>
      <w:r>
        <w:rPr>
          <w:rFonts w:hint="eastAsia" w:ascii="仿宋_GB2312" w:eastAsia="仿宋_GB2312"/>
          <w:b/>
          <w:sz w:val="28"/>
          <w:szCs w:val="32"/>
        </w:rPr>
        <w:t>）</w:t>
      </w:r>
    </w:p>
    <w:tbl>
      <w:tblPr>
        <w:tblStyle w:val="10"/>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13"/>
        <w:gridCol w:w="5107"/>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4A982CA2">
            <w:r>
              <w:t>项目名称</w:t>
            </w:r>
          </w:p>
        </w:tc>
        <w:tc>
          <w:tcPr>
            <w:tcW w:w="5107" w:type="dxa"/>
            <w:vAlign w:val="center"/>
          </w:tcPr>
          <w:p w14:paraId="7F64B4EA">
            <w:r>
              <w:rPr>
                <w:rFonts w:hint="eastAsia"/>
              </w:rPr>
              <w:t>医院数据库运维服务项目</w:t>
            </w:r>
          </w:p>
        </w:tc>
        <w:tc>
          <w:tcPr>
            <w:tcW w:w="1985" w:type="dxa"/>
            <w:vAlign w:val="center"/>
          </w:tcPr>
          <w:p w14:paraId="075F3990">
            <w:r>
              <w:t>是否预选项目</w:t>
            </w:r>
          </w:p>
        </w:tc>
        <w:tc>
          <w:tcPr>
            <w:tcW w:w="2335" w:type="dxa"/>
            <w:vAlign w:val="center"/>
          </w:tcPr>
          <w:p w14:paraId="6C78AA49">
            <w:r>
              <w:rPr>
                <w:rFonts w:hint="eastAsia"/>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744D0627">
            <w:r>
              <w:t>采购人名称</w:t>
            </w:r>
          </w:p>
        </w:tc>
        <w:tc>
          <w:tcPr>
            <w:tcW w:w="5107" w:type="dxa"/>
            <w:vAlign w:val="center"/>
          </w:tcPr>
          <w:p w14:paraId="14A22D88">
            <w:r>
              <w:rPr>
                <w:rFonts w:hint="eastAsia"/>
              </w:rPr>
              <w:t>南方医科大学深圳口腔医院（坪山）</w:t>
            </w:r>
          </w:p>
        </w:tc>
        <w:tc>
          <w:tcPr>
            <w:tcW w:w="1985" w:type="dxa"/>
            <w:vAlign w:val="center"/>
          </w:tcPr>
          <w:p w14:paraId="22C1BD6A">
            <w:r>
              <w:t>采购方式</w:t>
            </w:r>
          </w:p>
        </w:tc>
        <w:tc>
          <w:tcPr>
            <w:tcW w:w="2335" w:type="dxa"/>
            <w:vAlign w:val="center"/>
          </w:tcPr>
          <w:p w14:paraId="3730702B">
            <w:r>
              <w:rPr>
                <w:rFonts w:hint="eastAsia"/>
              </w:rPr>
              <w:t>公开询价采购</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6C819CAA">
            <w:r>
              <w:t>预算限额（元）</w:t>
            </w:r>
          </w:p>
        </w:tc>
        <w:tc>
          <w:tcPr>
            <w:tcW w:w="9427" w:type="dxa"/>
            <w:gridSpan w:val="3"/>
            <w:vAlign w:val="center"/>
          </w:tcPr>
          <w:p w14:paraId="60241488">
            <w:r>
              <w:rPr>
                <w:rFonts w:hint="eastAsia"/>
              </w:rPr>
              <w:t>49000.00</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113" w:type="dxa"/>
            <w:vAlign w:val="center"/>
          </w:tcPr>
          <w:p w14:paraId="67333B09">
            <w:r>
              <w:t>项目背景</w:t>
            </w:r>
          </w:p>
        </w:tc>
        <w:tc>
          <w:tcPr>
            <w:tcW w:w="9427" w:type="dxa"/>
            <w:gridSpan w:val="3"/>
            <w:vAlign w:val="center"/>
          </w:tcPr>
          <w:p w14:paraId="5A1CAE2E">
            <w:pPr>
              <w:ind w:firstLine="420" w:firstLineChars="200"/>
            </w:pPr>
            <w:r>
              <w:rPr>
                <w:rFonts w:hint="eastAsia"/>
              </w:rPr>
              <w:t xml:space="preserve">随着国家“十四五”规划对公立医院高质量发展及智慧医院建设的深入推进，以及《数据安全法》等法规对医疗行业数据治理的严格要求，我院信息化建设正面临前所未有的机遇与挑战。作为医院信息系统的核心载体，HIS、EMR、PACS等核心业务的数据库，其稳定、高效与安全运行，已成为保障医疗业务正常开展、守护患者生命信息安全的生命线。 </w:t>
            </w:r>
          </w:p>
          <w:p w14:paraId="5CD35F57">
            <w:pPr>
              <w:ind w:firstLine="420" w:firstLineChars="200"/>
            </w:pPr>
            <w:r>
              <w:rPr>
                <w:rFonts w:hint="eastAsia"/>
              </w:rPr>
              <w:t>为解决上述问题，降低系统性风险，提升我院信息系统的整体服务能力与安全水平，实施一个专业化、体系化的数据库运维项目已刻不容缓。本项目旨在通过引入先进的运维理念、专业的技术工具和规范的服务流程，为我院核心数据资产构建一道坚实可靠的防线，为医院的稳健运营与未来发展保驾护航。</w:t>
            </w: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177A8AB8">
            <w:r>
              <w:t>报价人资质要求</w:t>
            </w:r>
          </w:p>
        </w:tc>
        <w:tc>
          <w:tcPr>
            <w:tcW w:w="9427" w:type="dxa"/>
            <w:gridSpan w:val="3"/>
            <w:vAlign w:val="center"/>
          </w:tcPr>
          <w:p w14:paraId="7EF53850">
            <w:pPr>
              <w:rPr>
                <w:rFonts w:ascii="宋体" w:hAnsi="宋体" w:eastAsia="宋体" w:cs="宋体"/>
                <w:szCs w:val="21"/>
              </w:rPr>
            </w:pPr>
            <w:r>
              <w:rPr>
                <w:rFonts w:hint="eastAsia" w:ascii="宋体" w:hAnsi="宋体" w:eastAsia="宋体" w:cs="宋体"/>
                <w:szCs w:val="21"/>
              </w:rPr>
              <w:t>1）报价人</w:t>
            </w:r>
            <w:r>
              <w:rPr>
                <w:rFonts w:hint="eastAsia"/>
                <w:szCs w:val="21"/>
              </w:rPr>
              <w:t>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参与市场调研，不允许同时参与本项目参与市场调研）</w:t>
            </w:r>
            <w:r>
              <w:rPr>
                <w:rFonts w:hint="eastAsia" w:ascii="宋体" w:hAnsi="宋体" w:eastAsia="宋体" w:cs="宋体"/>
                <w:szCs w:val="21"/>
              </w:rPr>
              <w:t>（提供营业执照原件扫描件并加盖报价人公章）。</w:t>
            </w:r>
          </w:p>
          <w:p w14:paraId="207E5B30">
            <w:pPr>
              <w:rPr>
                <w:rFonts w:ascii="宋体" w:hAnsi="宋体" w:eastAsia="宋体" w:cs="宋体"/>
                <w:szCs w:val="21"/>
              </w:rPr>
            </w:pPr>
            <w:r>
              <w:rPr>
                <w:rFonts w:hint="eastAsia" w:ascii="宋体" w:hAnsi="宋体" w:eastAsia="宋体" w:cs="宋体"/>
                <w:szCs w:val="21"/>
              </w:rPr>
              <w:t>2）本项目不接受联合体报价，不允许分包、转包，不接受报价人选用进口产品参与报价（由报价人在《政府采购报价及履约承诺函》中做出声明）。</w:t>
            </w:r>
          </w:p>
          <w:p w14:paraId="2A7CF929">
            <w:pPr>
              <w:rPr>
                <w:rFonts w:ascii="宋体" w:hAnsi="宋体" w:eastAsia="宋体" w:cs="宋体"/>
                <w:szCs w:val="21"/>
              </w:rPr>
            </w:pPr>
            <w:r>
              <w:rPr>
                <w:rFonts w:hint="eastAsia" w:ascii="宋体" w:hAnsi="宋体" w:eastAsia="宋体" w:cs="宋体"/>
                <w:szCs w:val="21"/>
              </w:rPr>
              <w:t>3）报价人近三年内无行贿犯罪记录（由报价人在《政府采购报价及履约承诺函》中做出声明）。</w:t>
            </w:r>
          </w:p>
          <w:p w14:paraId="176F60A1">
            <w:pPr>
              <w:rPr>
                <w:rFonts w:ascii="宋体" w:hAnsi="宋体" w:eastAsia="宋体" w:cs="宋体"/>
                <w:szCs w:val="21"/>
              </w:rPr>
            </w:pPr>
            <w:r>
              <w:rPr>
                <w:rFonts w:hint="eastAsia" w:ascii="宋体" w:hAnsi="宋体" w:eastAsia="宋体" w:cs="宋体"/>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26DAC5F3">
            <w:pPr>
              <w:rPr>
                <w:rFonts w:ascii="宋体" w:hAnsi="宋体" w:eastAsia="宋体" w:cs="宋体"/>
                <w:szCs w:val="21"/>
              </w:rPr>
            </w:pPr>
            <w:r>
              <w:rPr>
                <w:rFonts w:hint="eastAsia" w:ascii="宋体" w:hAnsi="宋体" w:eastAsia="宋体" w:cs="宋体"/>
                <w:szCs w:val="21"/>
              </w:rPr>
              <w:t>5）参与本项目的报价人不存在被有关部门禁止参与政府采购活动且在有效期内的情况（由报价人在《政府采购报价及履约承诺函》中做出声明）。</w:t>
            </w:r>
          </w:p>
          <w:p w14:paraId="612B6F07">
            <w:r>
              <w:rPr>
                <w:rFonts w:hint="eastAsia" w:ascii="宋体" w:hAnsi="宋体" w:eastAsia="宋体" w:cs="宋体"/>
                <w:szCs w:val="21"/>
              </w:rPr>
              <w:t>6.</w:t>
            </w:r>
            <w:r>
              <w:rPr>
                <w:rFonts w:hint="eastAsia"/>
                <w:szCs w:val="21"/>
              </w:rPr>
              <w:t xml:space="preserve"> 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的市场调研（由供应商填写</w:t>
            </w:r>
            <w:r>
              <w:rPr>
                <w:rFonts w:hint="eastAsia"/>
                <w:b/>
                <w:szCs w:val="21"/>
              </w:rPr>
              <w:t>《供应商基本情况表》</w:t>
            </w:r>
            <w:r>
              <w:rPr>
                <w:rFonts w:hint="eastAsia"/>
                <w:szCs w:val="21"/>
              </w:rPr>
              <w:t>相关信息）</w:t>
            </w:r>
            <w:r>
              <w:rPr>
                <w:rFonts w:asciiTheme="minorEastAsia" w:hAnsiTheme="minorEastAsia"/>
                <w:szCs w:val="21"/>
              </w:rPr>
              <w:t>。</w:t>
            </w:r>
          </w:p>
        </w:tc>
      </w:tr>
      <w:tr w14:paraId="3695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75" w:hRule="atLeast"/>
          <w:tblCellSpacing w:w="0" w:type="dxa"/>
          <w:jc w:val="center"/>
        </w:trPr>
        <w:tc>
          <w:tcPr>
            <w:tcW w:w="1113" w:type="dxa"/>
            <w:tcBorders>
              <w:bottom w:val="single" w:color="auto" w:sz="4" w:space="0"/>
            </w:tcBorders>
            <w:vAlign w:val="center"/>
          </w:tcPr>
          <w:p w14:paraId="07D8EDC9">
            <w:bookmarkStart w:id="1" w:name="_Hlk132703410"/>
            <w:r>
              <w:rPr>
                <w:rFonts w:hint="eastAsia"/>
              </w:rPr>
              <w:t>服务内容及要求</w:t>
            </w:r>
          </w:p>
        </w:tc>
        <w:tc>
          <w:tcPr>
            <w:tcW w:w="9427" w:type="dxa"/>
            <w:gridSpan w:val="3"/>
            <w:tcBorders>
              <w:bottom w:val="single" w:color="auto" w:sz="4" w:space="0"/>
            </w:tcBorders>
            <w:vAlign w:val="center"/>
          </w:tcPr>
          <w:p w14:paraId="36550DD3">
            <w:r>
              <w:rPr>
                <w:rFonts w:hint="eastAsia"/>
              </w:rPr>
              <w:t>提供数据库运维服务内容包括：数据库巡检、监控告警处理、故障应急处理、重要时刻保障服务、数据库定期备份恢复测试服务、数据库灾备环境搭建服务，容灾应急演练服务、优化服务。具体说明如下：</w:t>
            </w:r>
          </w:p>
          <w:tbl>
            <w:tblPr>
              <w:tblStyle w:val="10"/>
              <w:tblW w:w="9325" w:type="dxa"/>
              <w:tblInd w:w="0" w:type="dxa"/>
              <w:tblLayout w:type="fixed"/>
              <w:tblCellMar>
                <w:top w:w="0" w:type="dxa"/>
                <w:left w:w="108" w:type="dxa"/>
                <w:bottom w:w="0" w:type="dxa"/>
                <w:right w:w="108" w:type="dxa"/>
              </w:tblCellMar>
            </w:tblPr>
            <w:tblGrid>
              <w:gridCol w:w="678"/>
              <w:gridCol w:w="1701"/>
              <w:gridCol w:w="6740"/>
              <w:gridCol w:w="206"/>
            </w:tblGrid>
            <w:tr w14:paraId="04DB0895">
              <w:tblPrEx>
                <w:tblCellMar>
                  <w:top w:w="0" w:type="dxa"/>
                  <w:left w:w="108" w:type="dxa"/>
                  <w:bottom w:w="0" w:type="dxa"/>
                  <w:right w:w="108" w:type="dxa"/>
                </w:tblCellMar>
              </w:tblPrEx>
              <w:trPr>
                <w:trHeight w:val="27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Pr>
                <w:p w14:paraId="2E97062B">
                  <w:pPr>
                    <w:widowControl/>
                    <w:textAlignment w:val="top"/>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2D468F9">
                  <w:pPr>
                    <w:widowControl/>
                    <w:textAlignment w:val="top"/>
                    <w:rPr>
                      <w:rFonts w:ascii="宋体" w:hAnsi="宋体" w:eastAsia="宋体" w:cs="宋体"/>
                      <w:b/>
                      <w:bCs/>
                      <w:color w:val="000000"/>
                      <w:sz w:val="22"/>
                    </w:rPr>
                  </w:pPr>
                  <w:r>
                    <w:rPr>
                      <w:rFonts w:hint="eastAsia" w:ascii="宋体" w:hAnsi="宋体" w:eastAsia="宋体" w:cs="宋体"/>
                      <w:b/>
                      <w:bCs/>
                      <w:color w:val="000000"/>
                      <w:kern w:val="0"/>
                      <w:sz w:val="22"/>
                      <w:lang w:bidi="ar"/>
                    </w:rPr>
                    <w:t>服务项</w:t>
                  </w:r>
                </w:p>
              </w:tc>
              <w:tc>
                <w:tcPr>
                  <w:tcW w:w="6946" w:type="dxa"/>
                  <w:gridSpan w:val="2"/>
                  <w:tcBorders>
                    <w:top w:val="single" w:color="000000" w:sz="4" w:space="0"/>
                    <w:left w:val="single" w:color="000000" w:sz="4" w:space="0"/>
                    <w:bottom w:val="single" w:color="000000" w:sz="4" w:space="0"/>
                    <w:right w:val="single" w:color="000000" w:sz="4" w:space="0"/>
                  </w:tcBorders>
                  <w:shd w:val="clear" w:color="auto" w:fill="auto"/>
                </w:tcPr>
                <w:p w14:paraId="59CC11FD">
                  <w:pPr>
                    <w:widowControl/>
                    <w:textAlignment w:val="top"/>
                    <w:rPr>
                      <w:rFonts w:ascii="宋体" w:hAnsi="宋体" w:eastAsia="宋体" w:cs="宋体"/>
                      <w:b/>
                      <w:bCs/>
                      <w:color w:val="000000"/>
                      <w:sz w:val="22"/>
                    </w:rPr>
                  </w:pPr>
                  <w:r>
                    <w:rPr>
                      <w:rFonts w:hint="eastAsia" w:ascii="宋体" w:hAnsi="宋体" w:eastAsia="宋体" w:cs="宋体"/>
                      <w:b/>
                      <w:bCs/>
                      <w:color w:val="000000"/>
                      <w:kern w:val="0"/>
                      <w:sz w:val="22"/>
                      <w:lang w:bidi="ar"/>
                    </w:rPr>
                    <w:t>服务内容要求</w:t>
                  </w:r>
                </w:p>
              </w:tc>
            </w:tr>
            <w:tr w14:paraId="61BBA2C9">
              <w:tblPrEx>
                <w:tblCellMar>
                  <w:top w:w="0" w:type="dxa"/>
                  <w:left w:w="108" w:type="dxa"/>
                  <w:bottom w:w="0" w:type="dxa"/>
                  <w:right w:w="108" w:type="dxa"/>
                </w:tblCellMar>
              </w:tblPrEx>
              <w:trPr>
                <w:trHeight w:val="9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E4B">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DCDB">
                  <w:pPr>
                    <w:widowControl/>
                    <w:textAlignment w:val="center"/>
                    <w:rPr>
                      <w:rFonts w:ascii="Times New Roman" w:hAnsi="Times New Roman"/>
                      <w:sz w:val="24"/>
                      <w:szCs w:val="24"/>
                    </w:rPr>
                  </w:pPr>
                  <w:r>
                    <w:rPr>
                      <w:rFonts w:hint="eastAsia" w:cs="宋体" w:asciiTheme="minorEastAsia" w:hAnsiTheme="minorEastAsia" w:eastAsiaTheme="minorEastAsia"/>
                      <w:bCs/>
                      <w:sz w:val="24"/>
                      <w:szCs w:val="24"/>
                      <w:lang w:val="en-US" w:eastAsia="zh-CN"/>
                    </w:rPr>
                    <w:t>★</w:t>
                  </w:r>
                  <w:r>
                    <w:rPr>
                      <w:rFonts w:hint="eastAsia" w:ascii="Times New Roman" w:hAnsi="Times New Roman"/>
                      <w:sz w:val="24"/>
                      <w:szCs w:val="24"/>
                    </w:rPr>
                    <w:t xml:space="preserve"> 初始巡检</w:t>
                  </w:r>
                </w:p>
              </w:tc>
              <w:tc>
                <w:tcPr>
                  <w:tcW w:w="6946" w:type="dxa"/>
                  <w:gridSpan w:val="2"/>
                  <w:tcBorders>
                    <w:top w:val="single" w:color="000000" w:sz="4" w:space="0"/>
                    <w:left w:val="single" w:color="000000" w:sz="4" w:space="0"/>
                    <w:bottom w:val="single" w:color="000000" w:sz="4" w:space="0"/>
                    <w:right w:val="single" w:color="000000" w:sz="4" w:space="0"/>
                  </w:tcBorders>
                  <w:shd w:val="clear" w:color="auto" w:fill="auto"/>
                </w:tcPr>
                <w:p w14:paraId="01958FD6">
                  <w:pPr>
                    <w:widowControl/>
                    <w:textAlignment w:val="top"/>
                    <w:rPr>
                      <w:rFonts w:ascii="Times New Roman" w:hAnsi="Times New Roman"/>
                      <w:sz w:val="24"/>
                    </w:rPr>
                  </w:pPr>
                  <w:r>
                    <w:rPr>
                      <w:rFonts w:hint="eastAsia" w:ascii="Times New Roman" w:hAnsi="Times New Roman"/>
                      <w:sz w:val="24"/>
                    </w:rPr>
                    <w:t>收集数据库服务列表，提供数据库初始巡检报告和调整优化建议。</w:t>
                  </w:r>
                </w:p>
              </w:tc>
            </w:tr>
            <w:tr w14:paraId="5518EA28">
              <w:tblPrEx>
                <w:tblCellMar>
                  <w:top w:w="0" w:type="dxa"/>
                  <w:left w:w="108" w:type="dxa"/>
                  <w:bottom w:w="0" w:type="dxa"/>
                  <w:right w:w="108" w:type="dxa"/>
                </w:tblCellMar>
              </w:tblPrEx>
              <w:trPr>
                <w:trHeight w:val="9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F30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74795">
                  <w:pPr>
                    <w:widowControl/>
                    <w:textAlignment w:val="center"/>
                    <w:rPr>
                      <w:rFonts w:ascii="宋体" w:hAnsi="宋体" w:eastAsia="宋体" w:cs="宋体"/>
                      <w:b/>
                      <w:bCs/>
                      <w:color w:val="000000"/>
                      <w:sz w:val="24"/>
                      <w:szCs w:val="24"/>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b/>
                      <w:bCs/>
                      <w:color w:val="000000"/>
                      <w:sz w:val="24"/>
                      <w:szCs w:val="24"/>
                    </w:rPr>
                    <w:t>月度巡检（QARS标准）</w:t>
                  </w:r>
                </w:p>
              </w:tc>
              <w:tc>
                <w:tcPr>
                  <w:tcW w:w="6946" w:type="dxa"/>
                  <w:gridSpan w:val="2"/>
                  <w:tcBorders>
                    <w:top w:val="single" w:color="000000" w:sz="4" w:space="0"/>
                    <w:left w:val="single" w:color="000000" w:sz="4" w:space="0"/>
                    <w:bottom w:val="single" w:color="000000" w:sz="4" w:space="0"/>
                    <w:right w:val="single" w:color="000000" w:sz="4" w:space="0"/>
                  </w:tcBorders>
                  <w:shd w:val="clear" w:color="auto" w:fill="auto"/>
                </w:tcPr>
                <w:p w14:paraId="2F61C6EB">
                  <w:pPr>
                    <w:widowControl/>
                    <w:textAlignment w:val="top"/>
                    <w:rPr>
                      <w:rFonts w:ascii="宋体" w:hAnsi="宋体" w:eastAsia="宋体" w:cs="宋体"/>
                      <w:color w:val="000000"/>
                      <w:szCs w:val="21"/>
                    </w:rPr>
                  </w:pPr>
                  <w:r>
                    <w:rPr>
                      <w:rFonts w:hint="eastAsia" w:ascii="Times New Roman" w:hAnsi="Times New Roman"/>
                      <w:sz w:val="24"/>
                    </w:rPr>
                    <w:t>提供每月度全院所有系统数据库运行状态、日志、配置等全面分析，并提交数据库健康巡检报告。</w:t>
                  </w:r>
                </w:p>
              </w:tc>
            </w:tr>
            <w:tr w14:paraId="6CDB2406">
              <w:tblPrEx>
                <w:tblCellMar>
                  <w:top w:w="0" w:type="dxa"/>
                  <w:left w:w="108" w:type="dxa"/>
                  <w:bottom w:w="0" w:type="dxa"/>
                  <w:right w:w="108" w:type="dxa"/>
                </w:tblCellMar>
              </w:tblPrEx>
              <w:trPr>
                <w:trHeight w:val="95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DF0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82B">
                  <w:pPr>
                    <w:widowControl/>
                    <w:jc w:val="center"/>
                    <w:textAlignment w:val="center"/>
                    <w:rPr>
                      <w:rFonts w:ascii="宋体" w:hAnsi="宋体" w:eastAsia="宋体" w:cs="宋体"/>
                      <w:b/>
                      <w:bCs/>
                      <w:color w:val="000000"/>
                      <w:sz w:val="24"/>
                      <w:szCs w:val="24"/>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b/>
                      <w:bCs/>
                      <w:color w:val="000000"/>
                      <w:sz w:val="24"/>
                      <w:szCs w:val="24"/>
                    </w:rPr>
                    <w:t>监控告警处理</w:t>
                  </w:r>
                </w:p>
              </w:tc>
              <w:tc>
                <w:tcPr>
                  <w:tcW w:w="6946" w:type="dxa"/>
                  <w:gridSpan w:val="2"/>
                  <w:tcBorders>
                    <w:top w:val="single" w:color="000000" w:sz="4" w:space="0"/>
                    <w:left w:val="single" w:color="000000" w:sz="4" w:space="0"/>
                    <w:bottom w:val="single" w:color="000000" w:sz="4" w:space="0"/>
                    <w:right w:val="single" w:color="000000" w:sz="4" w:space="0"/>
                  </w:tcBorders>
                  <w:shd w:val="clear" w:color="auto" w:fill="auto"/>
                </w:tcPr>
                <w:p w14:paraId="7E99C9AE">
                  <w:pPr>
                    <w:widowControl/>
                    <w:textAlignment w:val="top"/>
                    <w:rPr>
                      <w:rFonts w:ascii="宋体" w:hAnsi="宋体" w:cs="宋体"/>
                      <w:color w:val="000000"/>
                      <w:szCs w:val="21"/>
                    </w:rPr>
                  </w:pPr>
                  <w:r>
                    <w:rPr>
                      <w:rFonts w:hint="eastAsia" w:ascii="Times New Roman" w:hAnsi="Times New Roman"/>
                      <w:sz w:val="24"/>
                    </w:rPr>
                    <w:t>提供数据库监控软件，提前设置监控告警阈值，当触发告警阈值后，可通过如邮件、手机信息等方式发送告警，得到院方授权后，承建方介入处理，提前预防生产故障。</w:t>
                  </w:r>
                </w:p>
              </w:tc>
            </w:tr>
            <w:tr w14:paraId="4E9C71E8">
              <w:tblPrEx>
                <w:tblCellMar>
                  <w:top w:w="0" w:type="dxa"/>
                  <w:left w:w="108" w:type="dxa"/>
                  <w:bottom w:w="0" w:type="dxa"/>
                  <w:right w:w="108" w:type="dxa"/>
                </w:tblCellMar>
              </w:tblPrEx>
              <w:trPr>
                <w:trHeight w:val="94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82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73B">
                  <w:pPr>
                    <w:widowControl/>
                    <w:jc w:val="left"/>
                    <w:textAlignment w:val="center"/>
                    <w:rPr>
                      <w:rFonts w:ascii="宋体" w:hAnsi="宋体" w:eastAsia="宋体" w:cs="宋体"/>
                      <w:b/>
                      <w:bCs/>
                      <w:color w:val="000000"/>
                      <w:sz w:val="24"/>
                      <w:szCs w:val="24"/>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b/>
                      <w:bCs/>
                      <w:color w:val="000000"/>
                      <w:sz w:val="24"/>
                      <w:szCs w:val="24"/>
                    </w:rPr>
                    <w:t>故障应急处理</w:t>
                  </w:r>
                </w:p>
              </w:tc>
              <w:tc>
                <w:tcPr>
                  <w:tcW w:w="6946" w:type="dxa"/>
                  <w:gridSpan w:val="2"/>
                  <w:tcBorders>
                    <w:top w:val="single" w:color="000000" w:sz="4" w:space="0"/>
                    <w:left w:val="single" w:color="000000" w:sz="4" w:space="0"/>
                    <w:bottom w:val="single" w:color="000000" w:sz="4" w:space="0"/>
                    <w:right w:val="single" w:color="000000" w:sz="4" w:space="0"/>
                  </w:tcBorders>
                  <w:shd w:val="clear" w:color="auto" w:fill="auto"/>
                </w:tcPr>
                <w:p w14:paraId="381CF4F9">
                  <w:pPr>
                    <w:widowControl/>
                    <w:textAlignment w:val="top"/>
                    <w:rPr>
                      <w:rFonts w:ascii="Times New Roman" w:hAnsi="Times New Roman"/>
                      <w:sz w:val="24"/>
                    </w:rPr>
                  </w:pPr>
                  <w:r>
                    <w:rPr>
                      <w:rFonts w:hint="eastAsia" w:ascii="Times New Roman" w:hAnsi="Times New Roman"/>
                      <w:bCs/>
                      <w:sz w:val="24"/>
                    </w:rPr>
                    <w:t>要求满足</w:t>
                  </w:r>
                  <w:r>
                    <w:rPr>
                      <w:rFonts w:hint="eastAsia" w:ascii="Times New Roman" w:hAnsi="Times New Roman"/>
                      <w:sz w:val="24"/>
                    </w:rPr>
                    <w:t>快速、有效地响应医院数据库系统各类故障的需要；要求最大限度减少服务中断时间，保障核心业务连续性和数据安全，特制定本预案。</w:t>
                  </w:r>
                </w:p>
                <w:p w14:paraId="49EEB352">
                  <w:pPr>
                    <w:widowControl/>
                    <w:textAlignment w:val="top"/>
                    <w:rPr>
                      <w:rFonts w:ascii="Times New Roman" w:hAnsi="Times New Roman"/>
                      <w:sz w:val="24"/>
                    </w:rPr>
                  </w:pPr>
                  <w:r>
                    <w:rPr>
                      <w:rFonts w:hint="eastAsia" w:ascii="Times New Roman" w:hAnsi="Times New Roman"/>
                      <w:bCs/>
                      <w:sz w:val="24"/>
                    </w:rPr>
                    <w:t>要求遵循</w:t>
                  </w:r>
                  <w:r>
                    <w:rPr>
                      <w:rFonts w:hint="eastAsia" w:ascii="Times New Roman" w:hAnsi="Times New Roman"/>
                      <w:sz w:val="24"/>
                    </w:rPr>
                    <w:t>生命线优先</w:t>
                  </w:r>
                  <w:r>
                    <w:rPr>
                      <w:rFonts w:hint="eastAsia" w:ascii="Times New Roman" w:hAnsi="Times New Roman"/>
                      <w:bCs/>
                      <w:sz w:val="24"/>
                    </w:rPr>
                    <w:t>原则：</w:t>
                  </w:r>
                  <w:r>
                    <w:rPr>
                      <w:rFonts w:hint="eastAsia" w:ascii="Times New Roman" w:hAnsi="Times New Roman"/>
                      <w:sz w:val="24"/>
                    </w:rPr>
                    <w:t>优先恢复影响挂号、收费、医嘱、护士站等核心诊疗流程的业务。</w:t>
                  </w:r>
                </w:p>
                <w:p w14:paraId="656239D6">
                  <w:pPr>
                    <w:widowControl/>
                    <w:textAlignment w:val="top"/>
                    <w:rPr>
                      <w:rFonts w:ascii="Times New Roman" w:hAnsi="Times New Roman"/>
                      <w:sz w:val="24"/>
                    </w:rPr>
                  </w:pPr>
                  <w:r>
                    <w:rPr>
                      <w:rFonts w:hint="eastAsia" w:ascii="Times New Roman" w:hAnsi="Times New Roman"/>
                      <w:sz w:val="24"/>
                    </w:rPr>
                    <w:t>要求遵循数据安全第一原则：任何恢复操作必须以不丢失或不破坏数据为基本前提。</w:t>
                  </w:r>
                </w:p>
                <w:p w14:paraId="0451B9E9">
                  <w:pPr>
                    <w:widowControl/>
                    <w:textAlignment w:val="top"/>
                    <w:rPr>
                      <w:rFonts w:ascii="Times New Roman" w:hAnsi="Times New Roman"/>
                      <w:sz w:val="24"/>
                    </w:rPr>
                  </w:pPr>
                  <w:r>
                    <w:rPr>
                      <w:rFonts w:hint="eastAsia" w:ascii="Times New Roman" w:hAnsi="Times New Roman"/>
                      <w:sz w:val="24"/>
                    </w:rPr>
                    <w:t>要求满足快速响应，分级处理原则：根据故障级别启动相应预案，避免过度处理或处理不足。</w:t>
                  </w:r>
                </w:p>
                <w:p w14:paraId="4E55DA17">
                  <w:pPr>
                    <w:widowControl/>
                    <w:textAlignment w:val="top"/>
                    <w:rPr>
                      <w:rFonts w:ascii="宋体" w:hAnsi="宋体" w:eastAsia="宋体" w:cs="宋体"/>
                      <w:color w:val="000000"/>
                      <w:szCs w:val="21"/>
                    </w:rPr>
                  </w:pPr>
                  <w:r>
                    <w:rPr>
                      <w:rFonts w:hint="eastAsia" w:ascii="Times New Roman" w:hAnsi="Times New Roman"/>
                      <w:sz w:val="24"/>
                    </w:rPr>
                    <w:t>医院核心业务系统包括HIS、EMR、LIS、PACS、手麻以及集成平台等的生产数据库。</w:t>
                  </w:r>
                </w:p>
              </w:tc>
            </w:tr>
            <w:tr w14:paraId="15137B01">
              <w:tblPrEx>
                <w:tblCellMar>
                  <w:top w:w="0" w:type="dxa"/>
                  <w:left w:w="108" w:type="dxa"/>
                  <w:bottom w:w="0" w:type="dxa"/>
                  <w:right w:w="108" w:type="dxa"/>
                </w:tblCellMar>
              </w:tblPrEx>
              <w:trPr>
                <w:gridAfter w:val="1"/>
                <w:wAfter w:w="206" w:type="dxa"/>
                <w:trHeight w:val="9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AB0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 w:val="22"/>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611">
                  <w:pPr>
                    <w:widowControl/>
                    <w:jc w:val="center"/>
                    <w:textAlignment w:val="center"/>
                    <w:rPr>
                      <w:rFonts w:ascii="宋体" w:hAnsi="宋体" w:eastAsia="宋体" w:cs="宋体"/>
                      <w:b/>
                      <w:bCs/>
                      <w:color w:val="000000"/>
                      <w:sz w:val="24"/>
                      <w:szCs w:val="24"/>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b/>
                      <w:bCs/>
                      <w:color w:val="000000"/>
                      <w:sz w:val="24"/>
                      <w:szCs w:val="24"/>
                    </w:rPr>
                    <w:t>重要时刻保障服务</w:t>
                  </w:r>
                </w:p>
              </w:tc>
              <w:tc>
                <w:tcPr>
                  <w:tcW w:w="6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152">
                  <w:pPr>
                    <w:widowControl/>
                    <w:jc w:val="left"/>
                    <w:textAlignment w:val="center"/>
                    <w:rPr>
                      <w:rFonts w:ascii="宋体" w:hAnsi="宋体" w:eastAsia="宋体" w:cs="宋体"/>
                      <w:b/>
                      <w:bCs/>
                      <w:color w:val="000000"/>
                      <w:szCs w:val="21"/>
                    </w:rPr>
                  </w:pPr>
                  <w:r>
                    <w:rPr>
                      <w:rFonts w:hint="eastAsia" w:ascii="Times New Roman" w:hAnsi="Times New Roman"/>
                      <w:sz w:val="24"/>
                    </w:rPr>
                    <w:t>要求提供数据库重要时刻保障服务，提供包含但不限于巡查、评级、重大节假日、公共安全事件等重要时期技术支持服务，每次的服务形式（远程/现场）由院方与承建方协商确定。</w:t>
                  </w:r>
                </w:p>
              </w:tc>
            </w:tr>
            <w:tr w14:paraId="5E668E8B">
              <w:tblPrEx>
                <w:tblCellMar>
                  <w:top w:w="0" w:type="dxa"/>
                  <w:left w:w="108" w:type="dxa"/>
                  <w:bottom w:w="0" w:type="dxa"/>
                  <w:right w:w="108" w:type="dxa"/>
                </w:tblCellMar>
              </w:tblPrEx>
              <w:trPr>
                <w:gridAfter w:val="1"/>
                <w:wAfter w:w="206" w:type="dxa"/>
                <w:trHeight w:val="9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A4A4">
                  <w:pPr>
                    <w:widowControl/>
                    <w:jc w:val="center"/>
                    <w:textAlignment w:val="center"/>
                    <w:rPr>
                      <w:rFonts w:ascii="宋体" w:hAnsi="宋体" w:eastAsia="宋体" w:cs="宋体"/>
                      <w:color w:val="000000"/>
                      <w:szCs w:val="21"/>
                    </w:rPr>
                  </w:pPr>
                  <w:r>
                    <w:rPr>
                      <w:rFonts w:hint="eastAsia" w:ascii="宋体" w:hAnsi="宋体" w:eastAsia="宋体" w:cs="宋体"/>
                      <w:b/>
                      <w:bCs/>
                      <w:color w:val="000000"/>
                      <w:kern w:val="0"/>
                      <w:sz w:val="22"/>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1CD">
                  <w:pPr>
                    <w:widowControl/>
                    <w:jc w:val="left"/>
                    <w:textAlignment w:val="center"/>
                    <w:rPr>
                      <w:rFonts w:ascii="宋体" w:hAnsi="宋体" w:eastAsia="宋体" w:cs="宋体"/>
                      <w:color w:val="000000"/>
                      <w:sz w:val="24"/>
                      <w:szCs w:val="24"/>
                    </w:rPr>
                  </w:pPr>
                  <w:r>
                    <w:rPr>
                      <w:rFonts w:hint="eastAsia" w:ascii="宋体" w:hAnsi="宋体" w:eastAsia="宋体" w:cs="宋体"/>
                      <w:b/>
                      <w:bCs/>
                      <w:color w:val="000000"/>
                      <w:sz w:val="24"/>
                      <w:szCs w:val="24"/>
                    </w:rPr>
                    <w:t>数据库定期备份恢复测试服务</w:t>
                  </w:r>
                </w:p>
              </w:tc>
              <w:tc>
                <w:tcPr>
                  <w:tcW w:w="6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2E1F">
                  <w:pPr>
                    <w:widowControl/>
                    <w:textAlignment w:val="top"/>
                    <w:rPr>
                      <w:rFonts w:ascii="Times New Roman" w:hAnsi="Times New Roman"/>
                      <w:sz w:val="24"/>
                    </w:rPr>
                  </w:pPr>
                  <w:r>
                    <w:rPr>
                      <w:rFonts w:hint="eastAsia" w:ascii="Times New Roman" w:hAnsi="Times New Roman"/>
                      <w:sz w:val="24"/>
                    </w:rPr>
                    <w:t>要求主导医院规划实施符合医院工作要求的、完善的备份恢复方案，确保医院数据库及相关数据的安全可靠运行。</w:t>
                  </w:r>
                </w:p>
                <w:p w14:paraId="3ACF1B07">
                  <w:pPr>
                    <w:widowControl/>
                    <w:textAlignment w:val="top"/>
                    <w:rPr>
                      <w:rFonts w:ascii="Times New Roman" w:hAnsi="Times New Roman"/>
                      <w:sz w:val="24"/>
                    </w:rPr>
                  </w:pPr>
                  <w:r>
                    <w:rPr>
                      <w:rFonts w:hint="eastAsia" w:ascii="Times New Roman" w:hAnsi="Times New Roman"/>
                      <w:sz w:val="24"/>
                    </w:rPr>
                    <w:t>测试类型：</w:t>
                  </w:r>
                </w:p>
                <w:p w14:paraId="364CA520">
                  <w:pPr>
                    <w:widowControl/>
                    <w:textAlignment w:val="top"/>
                    <w:rPr>
                      <w:rFonts w:ascii="Times New Roman" w:hAnsi="Times New Roman"/>
                      <w:sz w:val="24"/>
                    </w:rPr>
                  </w:pPr>
                  <w:r>
                    <w:rPr>
                      <w:rFonts w:hint="eastAsia" w:ascii="Times New Roman" w:hAnsi="Times New Roman"/>
                      <w:sz w:val="24"/>
                    </w:rPr>
                    <w:t>全量恢复测试（月度）：恢复RTO&lt;2小时</w:t>
                  </w:r>
                </w:p>
                <w:p w14:paraId="35677E57">
                  <w:pPr>
                    <w:widowControl/>
                    <w:textAlignment w:val="top"/>
                    <w:rPr>
                      <w:rFonts w:ascii="宋体" w:hAnsi="宋体" w:eastAsia="宋体" w:cs="宋体"/>
                      <w:color w:val="000000"/>
                      <w:szCs w:val="21"/>
                    </w:rPr>
                  </w:pPr>
                  <w:r>
                    <w:rPr>
                      <w:rFonts w:ascii="Times New Roman" w:hAnsi="Times New Roman"/>
                      <w:sz w:val="24"/>
                    </w:rPr>
                    <w:t>增量恢复测试（月度）：恢复精度&lt;5分钟</w:t>
                  </w:r>
                </w:p>
              </w:tc>
            </w:tr>
            <w:tr w14:paraId="4C037D4C">
              <w:tblPrEx>
                <w:tblCellMar>
                  <w:top w:w="0" w:type="dxa"/>
                  <w:left w:w="108" w:type="dxa"/>
                  <w:bottom w:w="0" w:type="dxa"/>
                  <w:right w:w="108" w:type="dxa"/>
                </w:tblCellMar>
              </w:tblPrEx>
              <w:trPr>
                <w:gridAfter w:val="1"/>
                <w:wAfter w:w="206" w:type="dxa"/>
                <w:trHeight w:val="47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A84">
                  <w:pPr>
                    <w:widowControl/>
                    <w:jc w:val="center"/>
                    <w:textAlignment w:val="center"/>
                    <w:rPr>
                      <w:rFonts w:ascii="宋体" w:hAnsi="宋体" w:eastAsia="宋体" w:cs="宋体"/>
                      <w:color w:val="000000"/>
                      <w:szCs w:val="21"/>
                    </w:rPr>
                  </w:pPr>
                  <w:r>
                    <w:rPr>
                      <w:rFonts w:hint="eastAsia" w:ascii="宋体" w:hAnsi="宋体" w:eastAsia="宋体" w:cs="宋体"/>
                      <w:b/>
                      <w:bCs/>
                      <w:color w:val="000000"/>
                      <w:kern w:val="0"/>
                      <w:sz w:val="22"/>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42A2">
                  <w:pPr>
                    <w:widowControl/>
                    <w:jc w:val="left"/>
                    <w:textAlignment w:val="center"/>
                    <w:rPr>
                      <w:rFonts w:ascii="宋体" w:hAnsi="宋体" w:eastAsia="宋体" w:cs="宋体"/>
                      <w:color w:val="000000"/>
                      <w:sz w:val="24"/>
                      <w:szCs w:val="24"/>
                    </w:rPr>
                  </w:pPr>
                  <w:r>
                    <w:rPr>
                      <w:rFonts w:hint="eastAsia" w:ascii="宋体" w:hAnsi="宋体" w:eastAsia="宋体" w:cs="宋体"/>
                      <w:b/>
                      <w:bCs/>
                      <w:color w:val="000000"/>
                      <w:sz w:val="24"/>
                      <w:szCs w:val="24"/>
                    </w:rPr>
                    <w:t>数据库灾备环境搭建服务</w:t>
                  </w:r>
                </w:p>
              </w:tc>
              <w:tc>
                <w:tcPr>
                  <w:tcW w:w="6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2209">
                  <w:pPr>
                    <w:widowControl/>
                    <w:textAlignment w:val="top"/>
                    <w:rPr>
                      <w:rFonts w:ascii="宋体" w:hAnsi="宋体" w:eastAsia="宋体" w:cs="宋体"/>
                      <w:color w:val="000000"/>
                      <w:szCs w:val="21"/>
                    </w:rPr>
                  </w:pPr>
                  <w:r>
                    <w:rPr>
                      <w:rFonts w:hint="eastAsia" w:ascii="Times New Roman" w:hAnsi="Times New Roman"/>
                      <w:sz w:val="24"/>
                    </w:rPr>
                    <w:t>根据医院需求，给业务数据库搭建灾备库，确保在遇到重大灾难的时候，数据库可以快速恢复，进而最快恢复医院业务，并把医院损失降到最低。</w:t>
                  </w:r>
                </w:p>
              </w:tc>
            </w:tr>
            <w:tr w14:paraId="77EF43B2">
              <w:tblPrEx>
                <w:tblCellMar>
                  <w:top w:w="0" w:type="dxa"/>
                  <w:left w:w="108" w:type="dxa"/>
                  <w:bottom w:w="0" w:type="dxa"/>
                  <w:right w:w="108" w:type="dxa"/>
                </w:tblCellMar>
              </w:tblPrEx>
              <w:trPr>
                <w:gridAfter w:val="1"/>
                <w:wAfter w:w="206" w:type="dxa"/>
                <w:trHeight w:val="1417"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B822">
                  <w:pPr>
                    <w:widowControl/>
                    <w:jc w:val="center"/>
                    <w:textAlignment w:val="center"/>
                    <w:rPr>
                      <w:rFonts w:ascii="宋体" w:hAnsi="宋体" w:eastAsia="宋体" w:cs="宋体"/>
                      <w:color w:val="000000"/>
                      <w:szCs w:val="21"/>
                    </w:rPr>
                  </w:pPr>
                  <w:r>
                    <w:rPr>
                      <w:rFonts w:hint="eastAsia" w:ascii="宋体" w:hAnsi="宋体" w:eastAsia="宋体" w:cs="宋体"/>
                      <w:b/>
                      <w:bCs/>
                      <w:color w:val="000000"/>
                      <w:kern w:val="0"/>
                      <w:sz w:val="22"/>
                      <w:lang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BCEE">
                  <w:pPr>
                    <w:widowControl/>
                    <w:jc w:val="left"/>
                    <w:textAlignment w:val="center"/>
                    <w:rPr>
                      <w:rFonts w:ascii="宋体" w:hAnsi="宋体" w:eastAsia="宋体" w:cs="宋体"/>
                      <w:color w:val="000000"/>
                      <w:sz w:val="24"/>
                      <w:szCs w:val="24"/>
                    </w:rPr>
                  </w:pPr>
                  <w:r>
                    <w:rPr>
                      <w:rFonts w:hint="eastAsia" w:ascii="宋体" w:hAnsi="宋体" w:eastAsia="宋体" w:cs="宋体"/>
                      <w:b/>
                      <w:bCs/>
                      <w:color w:val="000000"/>
                      <w:sz w:val="24"/>
                      <w:szCs w:val="24"/>
                    </w:rPr>
                    <w:t>容灾应急演练服务</w:t>
                  </w:r>
                </w:p>
              </w:tc>
              <w:tc>
                <w:tcPr>
                  <w:tcW w:w="6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25C">
                  <w:pPr>
                    <w:widowControl/>
                    <w:jc w:val="left"/>
                    <w:textAlignment w:val="center"/>
                    <w:rPr>
                      <w:rFonts w:ascii="Times New Roman" w:hAnsi="Times New Roman"/>
                      <w:sz w:val="24"/>
                    </w:rPr>
                  </w:pPr>
                  <w:r>
                    <w:rPr>
                      <w:rFonts w:hint="eastAsia" w:ascii="Times New Roman" w:hAnsi="Times New Roman"/>
                      <w:sz w:val="24"/>
                    </w:rPr>
                    <w:t>根据医院需求，为医院部署实施开发测试库以及灾备数据库，并制定应急预案演练方案，提供应急预案演练支持，验证应急预案流程的有效性和容灾环境的可用性，并根据医院需求到现场提供必要的技术支持，服务周期内至少进行1次高可用和容灾演练。</w:t>
                  </w:r>
                </w:p>
              </w:tc>
            </w:tr>
            <w:tr w14:paraId="07C72596">
              <w:tblPrEx>
                <w:tblCellMar>
                  <w:top w:w="0" w:type="dxa"/>
                  <w:left w:w="108" w:type="dxa"/>
                  <w:bottom w:w="0" w:type="dxa"/>
                  <w:right w:w="108" w:type="dxa"/>
                </w:tblCellMar>
              </w:tblPrEx>
              <w:trPr>
                <w:gridAfter w:val="1"/>
                <w:wAfter w:w="206" w:type="dxa"/>
                <w:trHeight w:val="9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02AB">
                  <w:pPr>
                    <w:widowControl/>
                    <w:jc w:val="center"/>
                    <w:textAlignment w:val="center"/>
                    <w:rPr>
                      <w:rFonts w:ascii="宋体" w:hAnsi="宋体" w:eastAsia="宋体" w:cs="宋体"/>
                      <w:color w:val="000000"/>
                      <w:szCs w:val="21"/>
                    </w:rPr>
                  </w:pPr>
                  <w:r>
                    <w:rPr>
                      <w:rFonts w:hint="eastAsia" w:ascii="宋体" w:hAnsi="宋体" w:eastAsia="宋体" w:cs="宋体"/>
                      <w:b/>
                      <w:bCs/>
                      <w:color w:val="000000"/>
                      <w:kern w:val="0"/>
                      <w:sz w:val="22"/>
                      <w:lang w:bidi="ar"/>
                    </w:rPr>
                    <w:t xml:space="preserve">9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F77">
                  <w:pPr>
                    <w:widowControl/>
                    <w:jc w:val="left"/>
                    <w:textAlignment w:val="center"/>
                    <w:rPr>
                      <w:rFonts w:ascii="宋体" w:hAnsi="宋体" w:eastAsia="宋体" w:cs="宋体"/>
                      <w:color w:val="000000"/>
                      <w:sz w:val="24"/>
                      <w:szCs w:val="24"/>
                    </w:rPr>
                  </w:pPr>
                  <w:r>
                    <w:rPr>
                      <w:rFonts w:hint="eastAsia" w:ascii="宋体" w:hAnsi="宋体" w:eastAsia="宋体" w:cs="宋体"/>
                      <w:b/>
                      <w:bCs/>
                      <w:color w:val="000000"/>
                      <w:sz w:val="24"/>
                      <w:szCs w:val="24"/>
                    </w:rPr>
                    <w:t>优化服务</w:t>
                  </w:r>
                </w:p>
              </w:tc>
              <w:tc>
                <w:tcPr>
                  <w:tcW w:w="6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BDCC">
                  <w:pPr>
                    <w:widowControl/>
                    <w:jc w:val="left"/>
                    <w:textAlignment w:val="center"/>
                    <w:rPr>
                      <w:rFonts w:ascii="宋体" w:hAnsi="宋体" w:eastAsia="宋体" w:cs="宋体"/>
                      <w:color w:val="000000"/>
                      <w:szCs w:val="21"/>
                    </w:rPr>
                  </w:pPr>
                  <w:r>
                    <w:rPr>
                      <w:rFonts w:hint="eastAsia" w:ascii="Times New Roman" w:hAnsi="Times New Roman"/>
                      <w:sz w:val="24"/>
                    </w:rPr>
                    <w:t>根据业务需要，对服务范围内的数据库进行性能分析与调优，根据最佳实践进行参数调优，分析对系统性能影响比较大的数据库语句，优化数据库语句执行效率，每个季度至少1次对TOP10 SQL进行优化。</w:t>
                  </w:r>
                </w:p>
              </w:tc>
            </w:tr>
          </w:tbl>
          <w:p w14:paraId="5B134B10">
            <w:pPr>
              <w:pStyle w:val="4"/>
              <w:ind w:firstLine="399" w:firstLineChars="190"/>
            </w:pPr>
            <w:r>
              <w:rPr>
                <w:rFonts w:hint="eastAsia"/>
              </w:rPr>
              <w:t>服务级别协议（SLA）与考核标准：</w:t>
            </w:r>
          </w:p>
          <w:p w14:paraId="0E338819">
            <w:pPr>
              <w:pStyle w:val="4"/>
              <w:ind w:firstLine="399" w:firstLineChars="190"/>
            </w:pPr>
            <w:r>
              <w:rPr>
                <w:rFonts w:hint="eastAsia"/>
              </w:rPr>
              <w:t>1.系统可用性：核心业务模块（包括但不限于：门诊收费系统、门诊电子病历系统、住院电子病历系统、医院信息平台接口等）月度累计可用性不低于99.5%。（计算公式：可用性=（1-计划外不可用时间/月度总时间）×100%）</w:t>
            </w:r>
          </w:p>
          <w:p w14:paraId="69F8CE0B">
            <w:pPr>
              <w:pStyle w:val="4"/>
              <w:ind w:firstLine="399" w:firstLineChars="190"/>
            </w:pPr>
            <w:r>
              <w:rPr>
                <w:rFonts w:hint="eastAsia"/>
              </w:rPr>
              <w:t>2.数据质量：通过平台交互的核心业务数据（如患者主索引、诊疗记录）准确性要求100%；核心数据同步至目标系统的延迟时间不超过5分钟。</w:t>
            </w:r>
          </w:p>
          <w:p w14:paraId="09056739">
            <w:pPr>
              <w:pStyle w:val="4"/>
              <w:ind w:firstLine="399" w:firstLineChars="190"/>
            </w:pPr>
            <w:r>
              <w:rPr>
                <w:rFonts w:hint="eastAsia"/>
              </w:rPr>
              <w:t>3.故障处理：</w:t>
            </w:r>
          </w:p>
          <w:p w14:paraId="2F55A669">
            <w:pPr>
              <w:pStyle w:val="4"/>
              <w:ind w:firstLine="399" w:firstLineChars="190"/>
            </w:pPr>
            <w:r>
              <w:rPr>
                <w:rFonts w:hint="eastAsia"/>
              </w:rPr>
              <w:t>P1级（系统瘫痪：平台核心模块完全瘫痪，导致全院或主要业务中断。）需在2小时内恢复服务；</w:t>
            </w:r>
          </w:p>
          <w:p w14:paraId="03DDE689">
            <w:pPr>
              <w:pStyle w:val="4"/>
              <w:ind w:firstLine="399" w:firstLineChars="190"/>
            </w:pPr>
            <w:r>
              <w:rPr>
                <w:rFonts w:hint="eastAsia"/>
              </w:rPr>
              <w:t>P2级（核心功能严重受损：核心功能严重受损或性能急剧下降，严重影响部分科室业务。）需在4小时内解决；</w:t>
            </w:r>
          </w:p>
          <w:p w14:paraId="72E1C7D2">
            <w:pPr>
              <w:pStyle w:val="4"/>
              <w:ind w:firstLine="399" w:firstLineChars="190"/>
            </w:pPr>
            <w:r>
              <w:rPr>
                <w:rFonts w:hint="eastAsia"/>
              </w:rPr>
              <w:t>P3级（一般故障：非核心功能</w:t>
            </w:r>
            <w:bookmarkStart w:id="2" w:name="_GoBack"/>
            <w:bookmarkEnd w:id="2"/>
            <w:r>
              <w:rPr>
                <w:rFonts w:hint="eastAsia"/>
              </w:rPr>
              <w:t>异常，存在变通方案，影响用户体验。）需在1个工作日内解决；</w:t>
            </w:r>
          </w:p>
          <w:p w14:paraId="5ABBAA04">
            <w:pPr>
              <w:pStyle w:val="4"/>
              <w:ind w:firstLine="399" w:firstLineChars="190"/>
            </w:pPr>
            <w:r>
              <w:rPr>
                <w:rFonts w:hint="eastAsia"/>
              </w:rPr>
              <w:t>P4级（轻微故障：咨询类问题或轻微瑕疵。）需在5个工作日内解决。</w:t>
            </w:r>
          </w:p>
          <w:p w14:paraId="62AD32F3">
            <w:pPr>
              <w:pStyle w:val="4"/>
              <w:ind w:firstLine="399" w:firstLineChars="190"/>
            </w:pPr>
            <w:r>
              <w:rPr>
                <w:rFonts w:hint="eastAsia"/>
              </w:rPr>
              <w:t>4.考核与扣罚：上述SLA指标将纳入季度考核（见商务需求3.1）。若未达标，医院有权根据合同约定按比例扣减当期服务费用。</w:t>
            </w:r>
          </w:p>
        </w:tc>
      </w:tr>
      <w:bookmarkEnd w:id="1"/>
      <w:tr w14:paraId="0AF7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69ACA766">
            <w:r>
              <w:rPr>
                <w:rFonts w:hint="eastAsia"/>
              </w:rPr>
              <w:t>数据库列表</w:t>
            </w:r>
          </w:p>
        </w:tc>
        <w:tc>
          <w:tcPr>
            <w:tcW w:w="9427" w:type="dxa"/>
            <w:gridSpan w:val="3"/>
            <w:vAlign w:val="center"/>
          </w:tcPr>
          <w:tbl>
            <w:tblPr>
              <w:tblStyle w:val="10"/>
              <w:tblW w:w="8676" w:type="dxa"/>
              <w:tblInd w:w="96" w:type="dxa"/>
              <w:tblLayout w:type="fixed"/>
              <w:tblCellMar>
                <w:top w:w="0" w:type="dxa"/>
                <w:left w:w="108" w:type="dxa"/>
                <w:bottom w:w="0" w:type="dxa"/>
                <w:right w:w="108" w:type="dxa"/>
              </w:tblCellMar>
            </w:tblPr>
            <w:tblGrid>
              <w:gridCol w:w="2325"/>
              <w:gridCol w:w="1988"/>
              <w:gridCol w:w="2600"/>
              <w:gridCol w:w="1763"/>
            </w:tblGrid>
            <w:tr w14:paraId="2B9C1B78">
              <w:tblPrEx>
                <w:tblCellMar>
                  <w:top w:w="0" w:type="dxa"/>
                  <w:left w:w="108" w:type="dxa"/>
                  <w:bottom w:w="0" w:type="dxa"/>
                  <w:right w:w="108" w:type="dxa"/>
                </w:tblCellMar>
              </w:tblPrEx>
              <w:trPr>
                <w:trHeight w:val="65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286">
                  <w:pPr>
                    <w:widowControl/>
                    <w:jc w:val="center"/>
                    <w:textAlignment w:val="center"/>
                    <w:rPr>
                      <w:rFonts w:asciiTheme="minorEastAsia" w:hAnsiTheme="minorEastAsia" w:cstheme="minorEastAsia"/>
                      <w:b/>
                      <w:color w:val="000000"/>
                      <w:szCs w:val="21"/>
                    </w:rPr>
                  </w:pPr>
                  <w:r>
                    <w:rPr>
                      <w:rFonts w:hint="eastAsia" w:asciiTheme="minorEastAsia" w:hAnsiTheme="minorEastAsia" w:cstheme="minorEastAsia"/>
                      <w:b/>
                      <w:color w:val="000000"/>
                      <w:kern w:val="0"/>
                      <w:szCs w:val="21"/>
                      <w:lang w:bidi="ar"/>
                    </w:rPr>
                    <w:t>应用系统名称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9F4">
                  <w:pPr>
                    <w:widowControl/>
                    <w:jc w:val="center"/>
                    <w:textAlignment w:val="center"/>
                    <w:rPr>
                      <w:rFonts w:asciiTheme="minorEastAsia" w:hAnsiTheme="minorEastAsia" w:cstheme="minorEastAsia"/>
                      <w:b/>
                      <w:color w:val="000000"/>
                      <w:szCs w:val="21"/>
                    </w:rPr>
                  </w:pPr>
                  <w:r>
                    <w:rPr>
                      <w:rFonts w:hint="eastAsia" w:asciiTheme="minorEastAsia" w:hAnsiTheme="minorEastAsia" w:cstheme="minorEastAsia"/>
                      <w:b/>
                      <w:color w:val="000000"/>
                      <w:kern w:val="0"/>
                      <w:szCs w:val="21"/>
                      <w:lang w:bidi="ar"/>
                    </w:rPr>
                    <w:t>数据库保障等级</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7CC1">
                  <w:pPr>
                    <w:widowControl/>
                    <w:jc w:val="center"/>
                    <w:textAlignment w:val="center"/>
                    <w:rPr>
                      <w:rFonts w:asciiTheme="minorEastAsia" w:hAnsiTheme="minorEastAsia" w:cstheme="minorEastAsia"/>
                      <w:b/>
                      <w:color w:val="000000"/>
                      <w:szCs w:val="21"/>
                    </w:rPr>
                  </w:pPr>
                  <w:r>
                    <w:rPr>
                      <w:rFonts w:hint="eastAsia" w:asciiTheme="minorEastAsia" w:hAnsiTheme="minorEastAsia" w:cstheme="minorEastAsia"/>
                      <w:b/>
                      <w:color w:val="000000"/>
                      <w:kern w:val="0"/>
                      <w:szCs w:val="21"/>
                      <w:lang w:bidi="ar"/>
                    </w:rPr>
                    <w:t>数据库类型</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CAE8">
                  <w:pPr>
                    <w:widowControl/>
                    <w:jc w:val="center"/>
                    <w:textAlignment w:val="center"/>
                    <w:rPr>
                      <w:rFonts w:asciiTheme="minorEastAsia" w:hAnsiTheme="minorEastAsia" w:cstheme="minorEastAsia"/>
                      <w:b/>
                      <w:color w:val="000000"/>
                      <w:szCs w:val="21"/>
                    </w:rPr>
                  </w:pPr>
                  <w:r>
                    <w:rPr>
                      <w:rFonts w:hint="eastAsia" w:asciiTheme="minorEastAsia" w:hAnsiTheme="minorEastAsia" w:cstheme="minorEastAsia"/>
                      <w:b/>
                      <w:color w:val="000000"/>
                      <w:kern w:val="0"/>
                      <w:szCs w:val="21"/>
                      <w:lang w:bidi="ar"/>
                    </w:rPr>
                    <w:t>配置</w:t>
                  </w:r>
                </w:p>
              </w:tc>
            </w:tr>
            <w:tr w14:paraId="7ABE3A8D">
              <w:tblPrEx>
                <w:tblCellMar>
                  <w:top w:w="0" w:type="dxa"/>
                  <w:left w:w="108" w:type="dxa"/>
                  <w:bottom w:w="0" w:type="dxa"/>
                  <w:right w:w="108" w:type="dxa"/>
                </w:tblCellMar>
              </w:tblPrEx>
              <w:trPr>
                <w:trHeight w:val="325"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B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移动护理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24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CE3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2B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6B8E3D41">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33B9">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影像管理系统（PACS）</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DD4">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EDF6">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F4E">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主从</w:t>
                  </w:r>
                </w:p>
              </w:tc>
            </w:tr>
            <w:tr w14:paraId="43FFED85">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D01D">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成本管理系统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B8C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BF1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183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5EC1FC9F">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EFD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绩效管理系统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F3D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EFD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493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4C036CD1">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A8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OA</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3D6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41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96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71076850">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16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HRP</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6B3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15A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C9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19E6203E">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7D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消毒供应</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0A8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8D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21A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121650B1">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9C9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CDSS</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A2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BEF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ORACLE</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5DB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471E4DA5">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43C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手术麻醉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35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4DD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144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2D0E06B4">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DB8">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不良事件</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05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99F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229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39707A8C">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008F">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医院管理系统（HIS）</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2746">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5A2F">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ORACLE</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87ED">
                  <w:pPr>
                    <w:widowControl/>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RAC(双主)</w:t>
                  </w:r>
                </w:p>
              </w:tc>
            </w:tr>
            <w:tr w14:paraId="507CC634">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1278">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合理用药系统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559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67F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mongodb</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3E5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009DB117">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C0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心电</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5E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9FB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15C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2FB343F2">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68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院感</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00B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473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oracle</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7E8">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2D08930F">
              <w:tblPrEx>
                <w:tblCellMar>
                  <w:top w:w="0" w:type="dxa"/>
                  <w:left w:w="108" w:type="dxa"/>
                  <w:bottom w:w="0" w:type="dxa"/>
                  <w:right w:w="108" w:type="dxa"/>
                </w:tblCellMar>
              </w:tblPrEx>
              <w:trPr>
                <w:trHeight w:val="312"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596A">
                  <w:pPr>
                    <w:jc w:val="left"/>
                    <w:rPr>
                      <w:rFonts w:asciiTheme="minorEastAsia" w:hAnsiTheme="minorEastAsia" w:cstheme="minorEastAsia"/>
                      <w:color w:val="000000"/>
                      <w:szCs w:val="21"/>
                    </w:rPr>
                  </w:pPr>
                  <w:r>
                    <w:rPr>
                      <w:rFonts w:hint="eastAsia"/>
                    </w:rPr>
                    <w:t>集成平台数据库+CDR</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1493">
                  <w:pPr>
                    <w:jc w:val="left"/>
                    <w:rPr>
                      <w:rFonts w:asciiTheme="minorEastAsia" w:hAnsiTheme="minorEastAsia" w:cstheme="minorEastAsia"/>
                      <w:color w:val="000000"/>
                      <w:szCs w:val="21"/>
                    </w:rPr>
                  </w:pPr>
                  <w:r>
                    <w:rPr>
                      <w:rFonts w:hint="eastAsia"/>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EF71">
                  <w:pPr>
                    <w:jc w:val="left"/>
                    <w:rPr>
                      <w:rFonts w:asciiTheme="minorEastAsia" w:hAnsiTheme="minorEastAsia" w:cstheme="minorEastAsia"/>
                      <w:color w:val="000000"/>
                      <w:szCs w:val="21"/>
                    </w:rPr>
                  </w:pPr>
                  <w:r>
                    <w:rPr>
                      <w:rFonts w:hint="eastAsia"/>
                    </w:rPr>
                    <w:t>sql server</w:t>
                  </w:r>
                </w:p>
              </w:tc>
              <w:tc>
                <w:tcPr>
                  <w:tcW w:w="1763" w:type="dxa"/>
                  <w:tcBorders>
                    <w:top w:val="nil"/>
                    <w:left w:val="nil"/>
                    <w:bottom w:val="nil"/>
                    <w:right w:val="single" w:color="000000" w:sz="4" w:space="0"/>
                  </w:tcBorders>
                  <w:shd w:val="clear" w:color="auto" w:fill="auto"/>
                  <w:noWrap/>
                  <w:vAlign w:val="center"/>
                </w:tcPr>
                <w:p w14:paraId="5280AA0D">
                  <w:pPr>
                    <w:jc w:val="left"/>
                    <w:rPr>
                      <w:rFonts w:asciiTheme="minorEastAsia" w:hAnsiTheme="minorEastAsia" w:cstheme="minorEastAsia"/>
                      <w:color w:val="000000"/>
                      <w:szCs w:val="21"/>
                    </w:rPr>
                  </w:pPr>
                  <w:r>
                    <w:rPr>
                      <w:rFonts w:hint="eastAsia"/>
                    </w:rPr>
                    <w:t>单机</w:t>
                  </w:r>
                </w:p>
              </w:tc>
            </w:tr>
            <w:tr w14:paraId="44D15EC7">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743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主索引数据库</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D6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509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mongodb</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7D5F1C6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09086A8C">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D8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主数据数据库</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05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201E82F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Elasticsearch</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4D92851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69B9879D">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04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分诊叫号</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50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948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66230D1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16E1751A">
              <w:tblPrEx>
                <w:tblCellMar>
                  <w:top w:w="0" w:type="dxa"/>
                  <w:left w:w="108" w:type="dxa"/>
                  <w:bottom w:w="0" w:type="dxa"/>
                  <w:right w:w="108" w:type="dxa"/>
                </w:tblCellMar>
              </w:tblPrEx>
              <w:trPr>
                <w:trHeight w:val="42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99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检验系统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4A6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437751B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5387AC1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主从</w:t>
                  </w:r>
                </w:p>
              </w:tc>
            </w:tr>
            <w:tr w14:paraId="7C632C0C">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74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治疗系统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D6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3C9BC3B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3EAFE14D">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5A85499B">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9D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随访系统</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EBC9">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6FE65E1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73B3F9D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6C0E7158">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B3AC">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自助机</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AB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1C63470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27A7D12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5F74A8A3">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A1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互联网医院</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93A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重要</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6F35964D">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75D3F54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主从</w:t>
                  </w:r>
                </w:p>
              </w:tc>
            </w:tr>
            <w:tr w14:paraId="0C06736E">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FF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五权OA</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1C3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EB8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3B5D7962">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534F945F">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9B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电子票据</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72A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4366EE0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oracle</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5EC554B5">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4CEE4E48">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nil"/>
                    <w:right w:val="single" w:color="000000" w:sz="4" w:space="0"/>
                  </w:tcBorders>
                  <w:shd w:val="clear" w:color="auto" w:fill="auto"/>
                  <w:vAlign w:val="center"/>
                </w:tcPr>
                <w:p w14:paraId="2EFBDA9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医保智能审核</w:t>
                  </w:r>
                </w:p>
              </w:tc>
              <w:tc>
                <w:tcPr>
                  <w:tcW w:w="1988" w:type="dxa"/>
                  <w:tcBorders>
                    <w:top w:val="single" w:color="000000" w:sz="4" w:space="0"/>
                    <w:left w:val="single" w:color="000000" w:sz="4" w:space="0"/>
                    <w:bottom w:val="nil"/>
                    <w:right w:val="single" w:color="000000" w:sz="4" w:space="0"/>
                  </w:tcBorders>
                  <w:shd w:val="clear" w:color="auto" w:fill="auto"/>
                  <w:noWrap/>
                  <w:vAlign w:val="center"/>
                </w:tcPr>
                <w:p w14:paraId="0EFD1FFC">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1FC0AD36">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oracle</w:t>
                  </w:r>
                </w:p>
              </w:tc>
              <w:tc>
                <w:tcPr>
                  <w:tcW w:w="1763" w:type="dxa"/>
                  <w:tcBorders>
                    <w:top w:val="single" w:color="000000" w:sz="4" w:space="0"/>
                    <w:left w:val="nil"/>
                    <w:bottom w:val="nil"/>
                    <w:right w:val="single" w:color="000000" w:sz="4" w:space="0"/>
                  </w:tcBorders>
                  <w:shd w:val="clear" w:color="auto" w:fill="auto"/>
                  <w:noWrap/>
                  <w:vAlign w:val="center"/>
                </w:tcPr>
                <w:p w14:paraId="3DC1BFF7">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43B1A7EB">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nil"/>
                    <w:right w:val="single" w:color="000000" w:sz="4" w:space="0"/>
                  </w:tcBorders>
                  <w:shd w:val="clear" w:color="auto" w:fill="auto"/>
                  <w:vAlign w:val="center"/>
                </w:tcPr>
                <w:p w14:paraId="6D3DFB0B">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BI数据库</w:t>
                  </w:r>
                </w:p>
              </w:tc>
              <w:tc>
                <w:tcPr>
                  <w:tcW w:w="1988" w:type="dxa"/>
                  <w:tcBorders>
                    <w:top w:val="single" w:color="000000" w:sz="4" w:space="0"/>
                    <w:left w:val="single" w:color="000000" w:sz="4" w:space="0"/>
                    <w:bottom w:val="nil"/>
                    <w:right w:val="single" w:color="000000" w:sz="4" w:space="0"/>
                  </w:tcBorders>
                  <w:shd w:val="clear" w:color="auto" w:fill="auto"/>
                  <w:noWrap/>
                  <w:vAlign w:val="center"/>
                </w:tcPr>
                <w:p w14:paraId="7DD4BB7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nil"/>
                    <w:right w:val="single" w:color="000000" w:sz="4" w:space="0"/>
                  </w:tcBorders>
                  <w:shd w:val="clear" w:color="auto" w:fill="auto"/>
                  <w:noWrap/>
                  <w:vAlign w:val="center"/>
                </w:tcPr>
                <w:p w14:paraId="6529E38E">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sql server</w:t>
                  </w:r>
                </w:p>
              </w:tc>
              <w:tc>
                <w:tcPr>
                  <w:tcW w:w="1763" w:type="dxa"/>
                  <w:tcBorders>
                    <w:top w:val="single" w:color="000000" w:sz="4" w:space="0"/>
                    <w:left w:val="nil"/>
                    <w:bottom w:val="nil"/>
                    <w:right w:val="single" w:color="000000" w:sz="4" w:space="0"/>
                  </w:tcBorders>
                  <w:shd w:val="clear" w:color="auto" w:fill="auto"/>
                  <w:noWrap/>
                  <w:vAlign w:val="center"/>
                </w:tcPr>
                <w:p w14:paraId="130BB87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471FBCFF">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nil"/>
                    <w:right w:val="single" w:color="000000" w:sz="4" w:space="0"/>
                  </w:tcBorders>
                  <w:shd w:val="clear" w:color="auto" w:fill="auto"/>
                  <w:vAlign w:val="center"/>
                </w:tcPr>
                <w:p w14:paraId="1183BCAA">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国考数据库</w:t>
                  </w:r>
                </w:p>
              </w:tc>
              <w:tc>
                <w:tcPr>
                  <w:tcW w:w="1988" w:type="dxa"/>
                  <w:tcBorders>
                    <w:top w:val="single" w:color="000000" w:sz="4" w:space="0"/>
                    <w:left w:val="single" w:color="000000" w:sz="4" w:space="0"/>
                    <w:bottom w:val="nil"/>
                    <w:right w:val="single" w:color="000000" w:sz="4" w:space="0"/>
                  </w:tcBorders>
                  <w:shd w:val="clear" w:color="auto" w:fill="auto"/>
                  <w:noWrap/>
                  <w:vAlign w:val="center"/>
                </w:tcPr>
                <w:p w14:paraId="05E97484">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AC9D">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nil"/>
                    <w:bottom w:val="nil"/>
                    <w:right w:val="single" w:color="000000" w:sz="4" w:space="0"/>
                  </w:tcBorders>
                  <w:shd w:val="clear" w:color="auto" w:fill="auto"/>
                  <w:noWrap/>
                  <w:vAlign w:val="center"/>
                </w:tcPr>
                <w:p w14:paraId="5515F9D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r w14:paraId="0F2A15F9">
              <w:tblPrEx>
                <w:tblCellMar>
                  <w:top w:w="0" w:type="dxa"/>
                  <w:left w:w="108" w:type="dxa"/>
                  <w:bottom w:w="0" w:type="dxa"/>
                  <w:right w:w="108" w:type="dxa"/>
                </w:tblCellMar>
              </w:tblPrEx>
              <w:trPr>
                <w:trHeight w:val="408"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6C70">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BJCA</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A73">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一般</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55F">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mysql</w:t>
                  </w: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14:paraId="23A5152D">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单机</w:t>
                  </w:r>
                </w:p>
              </w:tc>
            </w:tr>
          </w:tbl>
          <w:p w14:paraId="31308166"/>
        </w:tc>
      </w:tr>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1113" w:type="dxa"/>
            <w:vAlign w:val="center"/>
          </w:tcPr>
          <w:p w14:paraId="494FEA8F">
            <w:r>
              <w:rPr>
                <w:rFonts w:hint="eastAsia" w:asciiTheme="minorEastAsia" w:hAnsiTheme="minorEastAsia"/>
              </w:rPr>
              <w:t>★</w:t>
            </w:r>
            <w:r>
              <w:t>商务需求</w:t>
            </w:r>
          </w:p>
        </w:tc>
        <w:tc>
          <w:tcPr>
            <w:tcW w:w="9427" w:type="dxa"/>
            <w:gridSpan w:val="3"/>
            <w:vAlign w:val="center"/>
          </w:tcPr>
          <w:tbl>
            <w:tblPr>
              <w:tblStyle w:val="10"/>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6"/>
              <w:gridCol w:w="6662"/>
            </w:tblGrid>
            <w:tr w14:paraId="4F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8" w:type="dxa"/>
                  <w:vAlign w:val="center"/>
                </w:tcPr>
                <w:p w14:paraId="39B219C5">
                  <w:pPr>
                    <w:jc w:val="center"/>
                    <w:rPr>
                      <w:b/>
                    </w:rPr>
                  </w:pPr>
                  <w:r>
                    <w:rPr>
                      <w:rFonts w:hint="eastAsia"/>
                      <w:b/>
                    </w:rPr>
                    <w:t>序号</w:t>
                  </w:r>
                </w:p>
              </w:tc>
              <w:tc>
                <w:tcPr>
                  <w:tcW w:w="1666" w:type="dxa"/>
                  <w:vAlign w:val="center"/>
                </w:tcPr>
                <w:p w14:paraId="7914067A">
                  <w:pPr>
                    <w:jc w:val="center"/>
                    <w:rPr>
                      <w:b/>
                    </w:rPr>
                  </w:pPr>
                  <w:r>
                    <w:rPr>
                      <w:rFonts w:hint="eastAsia"/>
                      <w:b/>
                    </w:rPr>
                    <w:t>目录</w:t>
                  </w:r>
                </w:p>
              </w:tc>
              <w:tc>
                <w:tcPr>
                  <w:tcW w:w="6662" w:type="dxa"/>
                  <w:vAlign w:val="center"/>
                </w:tcPr>
                <w:p w14:paraId="1500DBFD">
                  <w:pPr>
                    <w:jc w:val="center"/>
                    <w:rPr>
                      <w:b/>
                    </w:rPr>
                  </w:pPr>
                  <w:r>
                    <w:rPr>
                      <w:rFonts w:hint="eastAsia"/>
                      <w:b/>
                    </w:rPr>
                    <w:t>商务需求描述</w:t>
                  </w:r>
                </w:p>
              </w:tc>
            </w:tr>
            <w:tr w14:paraId="470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2EE31189">
                  <w:pPr>
                    <w:jc w:val="center"/>
                  </w:pPr>
                  <w:r>
                    <w:rPr>
                      <w:rFonts w:hint="eastAsia"/>
                    </w:rPr>
                    <w:t>1</w:t>
                  </w:r>
                </w:p>
              </w:tc>
              <w:tc>
                <w:tcPr>
                  <w:tcW w:w="1666" w:type="dxa"/>
                  <w:vAlign w:val="center"/>
                </w:tcPr>
                <w:p w14:paraId="4403DB0D">
                  <w:r>
                    <w:rPr>
                      <w:rFonts w:hint="eastAsia"/>
                    </w:rPr>
                    <w:t>服务期</w:t>
                  </w:r>
                </w:p>
              </w:tc>
              <w:tc>
                <w:tcPr>
                  <w:tcW w:w="6662" w:type="dxa"/>
                  <w:vAlign w:val="center"/>
                </w:tcPr>
                <w:p w14:paraId="7D73C17E">
                  <w:r>
                    <w:rPr>
                      <w:rFonts w:hint="eastAsia"/>
                    </w:rPr>
                    <w:t>自合同签订起一年。</w:t>
                  </w:r>
                </w:p>
              </w:tc>
            </w:tr>
            <w:tr w14:paraId="3A4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08E22952">
                  <w:pPr>
                    <w:jc w:val="center"/>
                  </w:pPr>
                  <w:r>
                    <w:rPr>
                      <w:rFonts w:hint="eastAsia"/>
                    </w:rPr>
                    <w:t>2</w:t>
                  </w:r>
                </w:p>
              </w:tc>
              <w:tc>
                <w:tcPr>
                  <w:tcW w:w="1666" w:type="dxa"/>
                  <w:vAlign w:val="center"/>
                </w:tcPr>
                <w:p w14:paraId="1383E738">
                  <w:r>
                    <w:rPr>
                      <w:rFonts w:hint="eastAsia"/>
                    </w:rPr>
                    <w:t>预算说明</w:t>
                  </w:r>
                </w:p>
              </w:tc>
              <w:tc>
                <w:tcPr>
                  <w:tcW w:w="6662" w:type="dxa"/>
                  <w:vAlign w:val="center"/>
                </w:tcPr>
                <w:p w14:paraId="56E2F53B">
                  <w:pPr>
                    <w:rPr>
                      <w:bCs/>
                    </w:rPr>
                  </w:pPr>
                  <w:r>
                    <w:rPr>
                      <w:rFonts w:hint="eastAsia"/>
                    </w:rPr>
                    <w:t>本项目报价不允许超过本次预算限额</w:t>
                  </w:r>
                </w:p>
              </w:tc>
            </w:tr>
            <w:tr w14:paraId="040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vAlign w:val="center"/>
                </w:tcPr>
                <w:p w14:paraId="4FBF6FCB">
                  <w:pPr>
                    <w:jc w:val="center"/>
                  </w:pPr>
                  <w:r>
                    <w:rPr>
                      <w:rFonts w:hint="eastAsia"/>
                    </w:rPr>
                    <w:t>3</w:t>
                  </w:r>
                </w:p>
              </w:tc>
              <w:tc>
                <w:tcPr>
                  <w:tcW w:w="1666" w:type="dxa"/>
                </w:tcPr>
                <w:p w14:paraId="46BE0CAA">
                  <w:r>
                    <w:rPr>
                      <w:rFonts w:hint="eastAsia"/>
                    </w:rPr>
                    <w:t>维修响应及故障解决时间</w:t>
                  </w:r>
                </w:p>
              </w:tc>
              <w:tc>
                <w:tcPr>
                  <w:tcW w:w="6662" w:type="dxa"/>
                  <w:vAlign w:val="center"/>
                </w:tcPr>
                <w:p w14:paraId="26AAC289">
                  <w:pPr>
                    <w:rPr>
                      <w:b/>
                    </w:rPr>
                  </w:pPr>
                  <w:r>
                    <w:rPr>
                      <w:rFonts w:hint="eastAsia"/>
                    </w:rPr>
                    <w:t>提供7*24小时响应服务，需1小时内响应。</w:t>
                  </w:r>
                </w:p>
              </w:tc>
            </w:tr>
            <w:tr w14:paraId="792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14:paraId="520850C0">
                  <w:pPr>
                    <w:jc w:val="center"/>
                  </w:pPr>
                  <w:r>
                    <w:rPr>
                      <w:rFonts w:hint="eastAsia"/>
                    </w:rPr>
                    <w:t>4</w:t>
                  </w:r>
                </w:p>
              </w:tc>
              <w:tc>
                <w:tcPr>
                  <w:tcW w:w="1666" w:type="dxa"/>
                  <w:vAlign w:val="center"/>
                </w:tcPr>
                <w:p w14:paraId="17B0233B">
                  <w:pPr>
                    <w:rPr>
                      <w:b/>
                    </w:rPr>
                  </w:pPr>
                  <w:r>
                    <w:rPr>
                      <w:rFonts w:hint="eastAsia"/>
                    </w:rPr>
                    <w:t>关于付款</w:t>
                  </w:r>
                </w:p>
              </w:tc>
              <w:tc>
                <w:tcPr>
                  <w:tcW w:w="6662" w:type="dxa"/>
                  <w:vAlign w:val="center"/>
                </w:tcPr>
                <w:p w14:paraId="02EDB1C5">
                  <w:pPr>
                    <w:rPr>
                      <w:b/>
                    </w:rPr>
                  </w:pPr>
                  <w:r>
                    <w:rPr>
                      <w:rFonts w:hint="eastAsia" w:ascii="宋体" w:hAnsi="宋体" w:eastAsia="宋体" w:cs="宋体"/>
                      <w:szCs w:val="21"/>
                    </w:rPr>
                    <w:t>运维合同签订生效后10个日历日内，中标人须向医院开具合法有效的全额发票。医院收到发票之日起，按合同总金额的40%支付合同首付款。剩余60%的合同款项（即终验款）将在运维服务完成并通过最终验收后10个日历日内予以结清。</w:t>
                  </w:r>
                </w:p>
              </w:tc>
            </w:tr>
            <w:tr w14:paraId="5BC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Align w:val="center"/>
                </w:tcPr>
                <w:p w14:paraId="11D6A96A">
                  <w:pPr>
                    <w:jc w:val="center"/>
                  </w:pPr>
                  <w:r>
                    <w:rPr>
                      <w:rFonts w:hint="eastAsia"/>
                    </w:rPr>
                    <w:t>5</w:t>
                  </w:r>
                </w:p>
              </w:tc>
              <w:tc>
                <w:tcPr>
                  <w:tcW w:w="1666" w:type="dxa"/>
                  <w:vAlign w:val="center"/>
                </w:tcPr>
                <w:p w14:paraId="75DA533E">
                  <w:r>
                    <w:rPr>
                      <w:rFonts w:hint="eastAsia"/>
                    </w:rPr>
                    <w:t>关于验收</w:t>
                  </w:r>
                </w:p>
              </w:tc>
              <w:tc>
                <w:tcPr>
                  <w:tcW w:w="6662" w:type="dxa"/>
                  <w:vAlign w:val="center"/>
                </w:tcPr>
                <w:p w14:paraId="2F7537AB">
                  <w:pPr>
                    <w:rPr>
                      <w:rFonts w:ascii="宋体" w:hAnsi="宋体" w:eastAsia="宋体" w:cs="宋体"/>
                      <w:szCs w:val="21"/>
                    </w:rPr>
                  </w:pPr>
                  <w:r>
                    <w:rPr>
                      <w:rFonts w:hint="eastAsia" w:ascii="宋体" w:hAnsi="宋体" w:eastAsia="宋体" w:cs="宋体"/>
                      <w:szCs w:val="21"/>
                    </w:rPr>
                    <w:t>3.1 日常考核验收：医院将根据本合同约定的服务要求及SLA（服务级别协议）条款，按季度对服务进行考核。考核结果作为服务费支付的依据之一。</w:t>
                  </w:r>
                </w:p>
                <w:p w14:paraId="27C2FAB2">
                  <w:pPr>
                    <w:rPr>
                      <w:b/>
                    </w:rPr>
                  </w:pPr>
                  <w:r>
                    <w:rPr>
                      <w:rFonts w:hint="eastAsia" w:ascii="宋体" w:hAnsi="宋体" w:eastAsia="宋体" w:cs="宋体"/>
                      <w:szCs w:val="21"/>
                    </w:rPr>
                    <w:t>3.2 最终验收：服务期满后，中标人需提交年度运维总结报告。采购人根据全年服务履约情况、故障记录、问题解决满意度及总结报告，组织最终验收。</w:t>
                  </w:r>
                </w:p>
              </w:tc>
            </w:tr>
            <w:tr w14:paraId="3238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Align w:val="center"/>
                </w:tcPr>
                <w:p w14:paraId="5967079C">
                  <w:pPr>
                    <w:jc w:val="center"/>
                  </w:pPr>
                  <w:r>
                    <w:rPr>
                      <w:rFonts w:hint="eastAsia"/>
                    </w:rPr>
                    <w:t>6.</w:t>
                  </w:r>
                </w:p>
              </w:tc>
              <w:tc>
                <w:tcPr>
                  <w:tcW w:w="1666" w:type="dxa"/>
                  <w:vAlign w:val="center"/>
                </w:tcPr>
                <w:p w14:paraId="609BCAD4">
                  <w:r>
                    <w:rPr>
                      <w:rFonts w:hint="eastAsia"/>
                    </w:rPr>
                    <w:t>关于服务对象</w:t>
                  </w:r>
                </w:p>
              </w:tc>
              <w:tc>
                <w:tcPr>
                  <w:tcW w:w="6662" w:type="dxa"/>
                  <w:vAlign w:val="center"/>
                </w:tcPr>
                <w:p w14:paraId="53C11B14">
                  <w:pPr>
                    <w:rPr>
                      <w:rFonts w:ascii="宋体" w:hAnsi="宋体" w:eastAsia="宋体" w:cs="宋体"/>
                      <w:szCs w:val="21"/>
                    </w:rPr>
                  </w:pPr>
                  <w:r>
                    <w:rPr>
                      <w:rFonts w:hint="eastAsia" w:ascii="宋体" w:hAnsi="宋体" w:eastAsia="宋体" w:cs="宋体"/>
                      <w:szCs w:val="21"/>
                    </w:rPr>
                    <w:t>本项目的服务对象包括但不限于院内所有信息系统数据库。</w:t>
                  </w:r>
                </w:p>
              </w:tc>
            </w:tr>
          </w:tbl>
          <w:p w14:paraId="14469E12"/>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169528D7">
            <w:pPr>
              <w:rPr>
                <w:b/>
                <w:color w:val="FF0000"/>
              </w:rPr>
            </w:pPr>
            <w:r>
              <w:rPr>
                <w:rFonts w:hint="eastAsia"/>
                <w:b/>
                <w:color w:val="FF0000"/>
              </w:rPr>
              <w:t>注意事项</w:t>
            </w:r>
          </w:p>
        </w:tc>
        <w:tc>
          <w:tcPr>
            <w:tcW w:w="9427" w:type="dxa"/>
            <w:gridSpan w:val="3"/>
            <w:vAlign w:val="center"/>
          </w:tcPr>
          <w:p w14:paraId="2D2AA26C">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0D204208"/>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47376"/>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4859"/>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6D9"/>
    <w:rsid w:val="003C17CE"/>
    <w:rsid w:val="003C5A41"/>
    <w:rsid w:val="003D15EF"/>
    <w:rsid w:val="003D1EF0"/>
    <w:rsid w:val="003D2D47"/>
    <w:rsid w:val="003D3DA4"/>
    <w:rsid w:val="003D4336"/>
    <w:rsid w:val="003D4974"/>
    <w:rsid w:val="003E462A"/>
    <w:rsid w:val="003F371C"/>
    <w:rsid w:val="00401212"/>
    <w:rsid w:val="00407D1B"/>
    <w:rsid w:val="00413167"/>
    <w:rsid w:val="004154E4"/>
    <w:rsid w:val="00416F16"/>
    <w:rsid w:val="00417349"/>
    <w:rsid w:val="00422E85"/>
    <w:rsid w:val="004303FC"/>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B6851"/>
    <w:rsid w:val="004C0736"/>
    <w:rsid w:val="004C2143"/>
    <w:rsid w:val="004C218C"/>
    <w:rsid w:val="004C2EEF"/>
    <w:rsid w:val="004C3F84"/>
    <w:rsid w:val="004C5CAF"/>
    <w:rsid w:val="004C7348"/>
    <w:rsid w:val="004D3AE3"/>
    <w:rsid w:val="004E1273"/>
    <w:rsid w:val="004E5766"/>
    <w:rsid w:val="004E6EAF"/>
    <w:rsid w:val="004E7C1A"/>
    <w:rsid w:val="004F2A7D"/>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3CF"/>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A4C5D"/>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37489"/>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A6F9B"/>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04616"/>
    <w:rsid w:val="00912805"/>
    <w:rsid w:val="00916031"/>
    <w:rsid w:val="009208E6"/>
    <w:rsid w:val="00923FD8"/>
    <w:rsid w:val="00930F0E"/>
    <w:rsid w:val="00933D10"/>
    <w:rsid w:val="00935675"/>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450"/>
    <w:rsid w:val="00987678"/>
    <w:rsid w:val="00987B31"/>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38B7"/>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859E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37AFA"/>
    <w:rsid w:val="00B42095"/>
    <w:rsid w:val="00B4247F"/>
    <w:rsid w:val="00B53064"/>
    <w:rsid w:val="00B565A0"/>
    <w:rsid w:val="00B56770"/>
    <w:rsid w:val="00B56DB5"/>
    <w:rsid w:val="00B63750"/>
    <w:rsid w:val="00B70821"/>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2947"/>
    <w:rsid w:val="00C86141"/>
    <w:rsid w:val="00C927B0"/>
    <w:rsid w:val="00C92C46"/>
    <w:rsid w:val="00C93A32"/>
    <w:rsid w:val="00C97C25"/>
    <w:rsid w:val="00CA0478"/>
    <w:rsid w:val="00CA2806"/>
    <w:rsid w:val="00CA3B65"/>
    <w:rsid w:val="00CA613C"/>
    <w:rsid w:val="00CB0349"/>
    <w:rsid w:val="00CB3275"/>
    <w:rsid w:val="00CC04BD"/>
    <w:rsid w:val="00CC205B"/>
    <w:rsid w:val="00CC362F"/>
    <w:rsid w:val="00CC74D5"/>
    <w:rsid w:val="00CC7F56"/>
    <w:rsid w:val="00CD0D02"/>
    <w:rsid w:val="00CD21AF"/>
    <w:rsid w:val="00CE0A8C"/>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A4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1768F"/>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2B96468"/>
    <w:rsid w:val="02C24BF1"/>
    <w:rsid w:val="035937A7"/>
    <w:rsid w:val="03655CA8"/>
    <w:rsid w:val="06DD649D"/>
    <w:rsid w:val="072F4F4B"/>
    <w:rsid w:val="07DE2D8B"/>
    <w:rsid w:val="08745B19"/>
    <w:rsid w:val="0A821835"/>
    <w:rsid w:val="0BCE7613"/>
    <w:rsid w:val="0BF17A23"/>
    <w:rsid w:val="0C6A2581"/>
    <w:rsid w:val="0F056591"/>
    <w:rsid w:val="10353802"/>
    <w:rsid w:val="121E0D58"/>
    <w:rsid w:val="12CD345A"/>
    <w:rsid w:val="1349016D"/>
    <w:rsid w:val="13F13588"/>
    <w:rsid w:val="17054D2D"/>
    <w:rsid w:val="189B3D4A"/>
    <w:rsid w:val="18A63D25"/>
    <w:rsid w:val="1C8C6544"/>
    <w:rsid w:val="1CE7377A"/>
    <w:rsid w:val="1D216C8C"/>
    <w:rsid w:val="1D4B4E83"/>
    <w:rsid w:val="1D9D585A"/>
    <w:rsid w:val="1E647772"/>
    <w:rsid w:val="1F6E0726"/>
    <w:rsid w:val="25433787"/>
    <w:rsid w:val="280F640A"/>
    <w:rsid w:val="28924EE2"/>
    <w:rsid w:val="29121B7F"/>
    <w:rsid w:val="2B88586B"/>
    <w:rsid w:val="2B964CE9"/>
    <w:rsid w:val="2DE956D9"/>
    <w:rsid w:val="2EA8720D"/>
    <w:rsid w:val="2ECF6B10"/>
    <w:rsid w:val="2EE76884"/>
    <w:rsid w:val="30066945"/>
    <w:rsid w:val="304C24A0"/>
    <w:rsid w:val="30C45E54"/>
    <w:rsid w:val="31CD2942"/>
    <w:rsid w:val="33E462EB"/>
    <w:rsid w:val="34084F1F"/>
    <w:rsid w:val="344C063B"/>
    <w:rsid w:val="35246EC1"/>
    <w:rsid w:val="35690D78"/>
    <w:rsid w:val="37B22EAA"/>
    <w:rsid w:val="382D42DF"/>
    <w:rsid w:val="38B467AE"/>
    <w:rsid w:val="39ED6B3B"/>
    <w:rsid w:val="3A053765"/>
    <w:rsid w:val="3B3913E9"/>
    <w:rsid w:val="3C0267B9"/>
    <w:rsid w:val="3EFC4A0B"/>
    <w:rsid w:val="4099524A"/>
    <w:rsid w:val="40D52048"/>
    <w:rsid w:val="40F36398"/>
    <w:rsid w:val="410B2C87"/>
    <w:rsid w:val="423170C2"/>
    <w:rsid w:val="42913E89"/>
    <w:rsid w:val="47F4705A"/>
    <w:rsid w:val="48C4659A"/>
    <w:rsid w:val="4C06511B"/>
    <w:rsid w:val="4C697BB1"/>
    <w:rsid w:val="4DD52FF7"/>
    <w:rsid w:val="4EE41BC3"/>
    <w:rsid w:val="4EEE63C5"/>
    <w:rsid w:val="4FC652ED"/>
    <w:rsid w:val="50306FB5"/>
    <w:rsid w:val="511300BE"/>
    <w:rsid w:val="515F7B5F"/>
    <w:rsid w:val="53F215D4"/>
    <w:rsid w:val="5479624C"/>
    <w:rsid w:val="573D7CA0"/>
    <w:rsid w:val="593C217C"/>
    <w:rsid w:val="59B46A62"/>
    <w:rsid w:val="5A96449D"/>
    <w:rsid w:val="5B353327"/>
    <w:rsid w:val="5BB16E51"/>
    <w:rsid w:val="5C915E6B"/>
    <w:rsid w:val="5CB35A78"/>
    <w:rsid w:val="5D467A6D"/>
    <w:rsid w:val="5F5244A8"/>
    <w:rsid w:val="62696D17"/>
    <w:rsid w:val="640C0196"/>
    <w:rsid w:val="65C6799D"/>
    <w:rsid w:val="6844104D"/>
    <w:rsid w:val="76022B63"/>
    <w:rsid w:val="78E35D19"/>
    <w:rsid w:val="79A050F6"/>
    <w:rsid w:val="7A2C0161"/>
    <w:rsid w:val="7C0C5586"/>
    <w:rsid w:val="7C6D24C9"/>
    <w:rsid w:val="7CDE6F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autoRedefine/>
    <w:semiHidden/>
    <w:unhideWhenUsed/>
    <w:qFormat/>
    <w:uiPriority w:val="99"/>
    <w:pPr>
      <w:jc w:val="left"/>
    </w:pPr>
  </w:style>
  <w:style w:type="paragraph" w:styleId="4">
    <w:name w:val="Body Text"/>
    <w:basedOn w:val="1"/>
    <w:next w:val="1"/>
    <w:unhideWhenUsed/>
    <w:qFormat/>
    <w:uiPriority w:val="99"/>
    <w:pPr>
      <w:spacing w:after="120"/>
    </w:pPr>
  </w:style>
  <w:style w:type="paragraph" w:styleId="5">
    <w:name w:val="Balloon Text"/>
    <w:basedOn w:val="1"/>
    <w:link w:val="22"/>
    <w:autoRedefine/>
    <w:semiHidden/>
    <w:unhideWhenUsed/>
    <w:qFormat/>
    <w:uiPriority w:val="99"/>
    <w:rPr>
      <w:rFonts w:ascii="Times New Roman" w:hAnsi="Times New Roman" w:eastAsia="仿宋_GB2312" w:cs="Times New Roman"/>
      <w:spacing w:val="10"/>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FollowedHyperlink"/>
    <w:basedOn w:val="12"/>
    <w:autoRedefine/>
    <w:semiHidden/>
    <w:unhideWhenUsed/>
    <w:qFormat/>
    <w:uiPriority w:val="99"/>
    <w:rPr>
      <w:color w:val="800080"/>
      <w:sz w:val="20"/>
      <w:szCs w:val="20"/>
      <w:u w:val="single"/>
    </w:rPr>
  </w:style>
  <w:style w:type="character" w:styleId="15">
    <w:name w:val="Hyperlink"/>
    <w:basedOn w:val="12"/>
    <w:autoRedefine/>
    <w:semiHidden/>
    <w:unhideWhenUsed/>
    <w:qFormat/>
    <w:uiPriority w:val="99"/>
    <w:rPr>
      <w:color w:val="0000FF"/>
      <w:sz w:val="20"/>
      <w:szCs w:val="20"/>
      <w:u w:val="single"/>
    </w:rPr>
  </w:style>
  <w:style w:type="character" w:styleId="16">
    <w:name w:val="annotation reference"/>
    <w:basedOn w:val="12"/>
    <w:autoRedefine/>
    <w:semiHidden/>
    <w:unhideWhenUsed/>
    <w:qFormat/>
    <w:uiPriority w:val="99"/>
    <w:rPr>
      <w:sz w:val="21"/>
      <w:szCs w:val="21"/>
    </w:rPr>
  </w:style>
  <w:style w:type="paragraph" w:customStyle="1" w:styleId="17">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8">
    <w:name w:val="页眉 Char"/>
    <w:basedOn w:val="12"/>
    <w:link w:val="7"/>
    <w:autoRedefine/>
    <w:qFormat/>
    <w:uiPriority w:val="0"/>
    <w:rPr>
      <w:rFonts w:ascii="Times New Roman" w:hAnsi="Times New Roman" w:eastAsia="宋体" w:cs="Times New Roman"/>
      <w:sz w:val="18"/>
      <w:szCs w:val="18"/>
    </w:rPr>
  </w:style>
  <w:style w:type="character" w:customStyle="1" w:styleId="19">
    <w:name w:val="页脚 Char"/>
    <w:basedOn w:val="12"/>
    <w:link w:val="6"/>
    <w:autoRedefine/>
    <w:qFormat/>
    <w:uiPriority w:val="99"/>
    <w:rPr>
      <w:sz w:val="18"/>
      <w:szCs w:val="18"/>
    </w:rPr>
  </w:style>
  <w:style w:type="paragraph" w:customStyle="1" w:styleId="20">
    <w:name w:val="首行缩进"/>
    <w:basedOn w:val="1"/>
    <w:autoRedefine/>
    <w:qFormat/>
    <w:uiPriority w:val="0"/>
    <w:pPr>
      <w:ind w:firstLine="480" w:firstLineChars="200"/>
    </w:pPr>
    <w:rPr>
      <w:rFonts w:ascii="Calibri" w:hAnsi="Calibri" w:eastAsia="仿宋" w:cs="Times New Roman"/>
      <w:sz w:val="28"/>
      <w:lang w:val="zh-CN"/>
    </w:rPr>
  </w:style>
  <w:style w:type="paragraph" w:styleId="21">
    <w:name w:val="List Paragraph"/>
    <w:basedOn w:val="1"/>
    <w:autoRedefine/>
    <w:qFormat/>
    <w:uiPriority w:val="34"/>
    <w:pPr>
      <w:ind w:firstLine="420" w:firstLineChars="200"/>
    </w:pPr>
  </w:style>
  <w:style w:type="character" w:customStyle="1" w:styleId="22">
    <w:name w:val="批注框文本 Char"/>
    <w:basedOn w:val="12"/>
    <w:link w:val="5"/>
    <w:autoRedefine/>
    <w:semiHidden/>
    <w:qFormat/>
    <w:uiPriority w:val="99"/>
    <w:rPr>
      <w:rFonts w:ascii="Times New Roman" w:hAnsi="Times New Roman" w:eastAsia="仿宋_GB2312" w:cs="Times New Roman"/>
      <w:spacing w:val="10"/>
      <w:sz w:val="18"/>
      <w:szCs w:val="18"/>
    </w:rPr>
  </w:style>
  <w:style w:type="character" w:customStyle="1" w:styleId="23">
    <w:name w:val="批注文字 Char"/>
    <w:basedOn w:val="12"/>
    <w:link w:val="3"/>
    <w:autoRedefine/>
    <w:semiHidden/>
    <w:qFormat/>
    <w:uiPriority w:val="99"/>
  </w:style>
  <w:style w:type="character" w:customStyle="1" w:styleId="24">
    <w:name w:val="批注主题 Char"/>
    <w:basedOn w:val="23"/>
    <w:link w:val="9"/>
    <w:autoRedefine/>
    <w:semiHidden/>
    <w:qFormat/>
    <w:uiPriority w:val="99"/>
    <w:rPr>
      <w:b/>
      <w:bCs/>
    </w:rPr>
  </w:style>
  <w:style w:type="character" w:customStyle="1" w:styleId="25">
    <w:name w:val="标题 1 Char"/>
    <w:basedOn w:val="12"/>
    <w:link w:val="2"/>
    <w:autoRedefine/>
    <w:qFormat/>
    <w:uiPriority w:val="9"/>
    <w:rPr>
      <w:b/>
      <w:bCs/>
      <w:kern w:val="44"/>
      <w:sz w:val="44"/>
      <w:szCs w:val="44"/>
    </w:rPr>
  </w:style>
  <w:style w:type="paragraph" w:customStyle="1" w:styleId="26">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7">
    <w:name w:val="font51"/>
    <w:basedOn w:val="12"/>
    <w:qFormat/>
    <w:uiPriority w:val="0"/>
    <w:rPr>
      <w:rFonts w:ascii="仿宋_GB2312" w:eastAsia="仿宋_GB2312" w:cs="仿宋_GB2312"/>
      <w:color w:val="000000"/>
      <w:sz w:val="28"/>
      <w:szCs w:val="28"/>
      <w:u w:val="none"/>
    </w:rPr>
  </w:style>
  <w:style w:type="character" w:customStyle="1" w:styleId="28">
    <w:name w:val="font21"/>
    <w:basedOn w:val="12"/>
    <w:qFormat/>
    <w:uiPriority w:val="0"/>
    <w:rPr>
      <w:rFonts w:hint="eastAsia" w:ascii="宋体" w:hAnsi="宋体" w:eastAsia="宋体" w:cs="宋体"/>
      <w:color w:val="000000"/>
      <w:sz w:val="28"/>
      <w:szCs w:val="28"/>
      <w:u w:val="none"/>
    </w:rPr>
  </w:style>
  <w:style w:type="character" w:customStyle="1" w:styleId="29">
    <w:name w:val="font31"/>
    <w:basedOn w:val="12"/>
    <w:qFormat/>
    <w:uiPriority w:val="0"/>
    <w:rPr>
      <w:rFonts w:hint="default" w:ascii="Times New Roman" w:hAnsi="Times New Roman" w:cs="Times New Roman"/>
      <w:color w:val="000000"/>
      <w:sz w:val="28"/>
      <w:szCs w:val="28"/>
      <w:u w:val="none"/>
    </w:rPr>
  </w:style>
  <w:style w:type="character" w:customStyle="1" w:styleId="30">
    <w:name w:val="font41"/>
    <w:basedOn w:val="12"/>
    <w:qFormat/>
    <w:uiPriority w:val="0"/>
    <w:rPr>
      <w:rFonts w:hint="eastAsia" w:ascii="仿宋_GB2312" w:eastAsia="仿宋_GB2312" w:cs="仿宋_GB2312"/>
      <w:color w:val="000000"/>
      <w:sz w:val="28"/>
      <w:szCs w:val="28"/>
      <w:u w:val="none"/>
    </w:rPr>
  </w:style>
  <w:style w:type="character" w:customStyle="1" w:styleId="31">
    <w:name w:val="font11"/>
    <w:basedOn w:val="12"/>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6069-EF98-4761-A253-E6F3BF530B1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4</Pages>
  <Words>3138</Words>
  <Characters>3464</Characters>
  <Lines>92</Lines>
  <Paragraphs>48</Paragraphs>
  <TotalTime>0</TotalTime>
  <ScaleCrop>false</ScaleCrop>
  <LinksUpToDate>false</LinksUpToDate>
  <CharactersWithSpaces>3484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张婷婷</dc:creator>
  <cp:lastModifiedBy>SMN</cp:lastModifiedBy>
  <cp:lastPrinted>2024-05-27T08:56:00Z</cp:lastPrinted>
  <dcterms:modified xsi:type="dcterms:W3CDTF">2026-06-05T08:14:30Z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D4BE400D58934A1B8DC43E0052096B99_13</vt:lpwstr>
  </property>
  <property fmtid="{D5CDD505-2E9C-101B-9397-08002B2CF9AE}" pid="4" name="KSOTemplateDocerSaveRecord">
    <vt:lpwstr>eyJoZGlkIjoiNTk4MzM0YjA0ZTE4ZjQzYTljMGFmNjNlZGI4ZjM0OTUiLCJ1c2VySWQiOiIzNDQ0ODA3MjQifQ==</vt:lpwstr>
  </property>
</Properties>
</file>