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0A06A">
      <w:pPr>
        <w:rPr>
          <w:rFonts w:ascii="方正小标宋简体" w:hAnsi="方正小标宋简体" w:eastAsia="方正小标宋简体" w:cs="方正小标宋简体"/>
          <w:b w:val="0"/>
          <w:bCs w:val="0"/>
          <w:sz w:val="32"/>
          <w:szCs w:val="32"/>
        </w:rPr>
      </w:pPr>
      <w:r>
        <w:rPr>
          <w:rFonts w:hint="eastAsia"/>
          <w:b w:val="0"/>
          <w:bCs w:val="0"/>
        </w:rPr>
        <w:t xml:space="preserve">                                                                                                                                                                                                       </w:t>
      </w:r>
      <w:r>
        <w:rPr>
          <w:rFonts w:hint="eastAsia" w:ascii="方正小标宋简体" w:hAnsi="方正小标宋简体" w:eastAsia="方正小标宋简体" w:cs="方正小标宋简体"/>
          <w:b w:val="0"/>
          <w:bCs w:val="0"/>
          <w:sz w:val="32"/>
          <w:szCs w:val="32"/>
        </w:rPr>
        <w:t>南方医科大学深圳口腔医院（坪山）东侧板房</w:t>
      </w:r>
    </w:p>
    <w:p w14:paraId="3C409232">
      <w:pP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区域地面下陷安全检测项目采购需求</w:t>
      </w:r>
    </w:p>
    <w:tbl>
      <w:tblPr>
        <w:tblStyle w:val="11"/>
        <w:tblpPr w:leftFromText="180" w:rightFromText="180" w:vertAnchor="text" w:horzAnchor="page" w:tblpX="824" w:tblpY="301"/>
        <w:tblOverlap w:val="never"/>
        <w:tblW w:w="10030" w:type="dxa"/>
        <w:tblCellSpacing w:w="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884"/>
        <w:gridCol w:w="5066"/>
        <w:gridCol w:w="1985"/>
        <w:gridCol w:w="2095"/>
      </w:tblGrid>
      <w:tr w14:paraId="49941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21" w:hRule="atLeast"/>
          <w:tblCellSpacing w:w="0" w:type="dxa"/>
        </w:trPr>
        <w:tc>
          <w:tcPr>
            <w:tcW w:w="884" w:type="dxa"/>
            <w:vAlign w:val="center"/>
          </w:tcPr>
          <w:p w14:paraId="5048458A">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项目名称</w:t>
            </w:r>
          </w:p>
        </w:tc>
        <w:tc>
          <w:tcPr>
            <w:tcW w:w="5066" w:type="dxa"/>
            <w:vAlign w:val="center"/>
          </w:tcPr>
          <w:p w14:paraId="59B4F49B">
            <w:pPr>
              <w:pStyle w:val="9"/>
              <w:spacing w:before="0" w:beforeAutospacing="0" w:after="0" w:afterAutospacing="0"/>
              <w:ind w:firstLine="480" w:firstLineChars="200"/>
              <w:rPr>
                <w:rFonts w:ascii="仿宋_GB2312" w:hAnsi="仿宋_GB2312" w:eastAsia="仿宋_GB2312" w:cs="仿宋_GB2312"/>
                <w:b w:val="0"/>
                <w:bCs w:val="0"/>
              </w:rPr>
            </w:pPr>
          </w:p>
          <w:p w14:paraId="77FC52DB">
            <w:pPr>
              <w:pStyle w:val="9"/>
              <w:spacing w:before="0" w:beforeAutospacing="0" w:after="0" w:afterAutospacing="0"/>
              <w:ind w:firstLine="48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东侧板房区域地面下陷安全检测项目</w:t>
            </w:r>
          </w:p>
          <w:p w14:paraId="78A5BA0B">
            <w:pPr>
              <w:rPr>
                <w:rFonts w:ascii="仿宋_GB2312" w:hAnsi="仿宋_GB2312" w:eastAsia="仿宋_GB2312" w:cs="仿宋_GB2312"/>
                <w:b w:val="0"/>
                <w:bCs w:val="0"/>
                <w:sz w:val="24"/>
                <w:szCs w:val="24"/>
              </w:rPr>
            </w:pPr>
          </w:p>
        </w:tc>
        <w:tc>
          <w:tcPr>
            <w:tcW w:w="1985" w:type="dxa"/>
            <w:vAlign w:val="center"/>
          </w:tcPr>
          <w:p w14:paraId="78371058">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是否预选项目</w:t>
            </w:r>
          </w:p>
        </w:tc>
        <w:tc>
          <w:tcPr>
            <w:tcW w:w="2095" w:type="dxa"/>
            <w:vAlign w:val="center"/>
          </w:tcPr>
          <w:p w14:paraId="60BD01DC">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否</w:t>
            </w:r>
          </w:p>
        </w:tc>
      </w:tr>
      <w:tr w14:paraId="51E7A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trPr>
        <w:tc>
          <w:tcPr>
            <w:tcW w:w="884" w:type="dxa"/>
            <w:vAlign w:val="center"/>
          </w:tcPr>
          <w:p w14:paraId="6277E7AB">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采购人名称</w:t>
            </w:r>
          </w:p>
        </w:tc>
        <w:tc>
          <w:tcPr>
            <w:tcW w:w="5066" w:type="dxa"/>
            <w:vAlign w:val="center"/>
          </w:tcPr>
          <w:p w14:paraId="25BCED35">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南方医科大学深圳口腔医院（坪山）</w:t>
            </w:r>
          </w:p>
        </w:tc>
        <w:tc>
          <w:tcPr>
            <w:tcW w:w="1985" w:type="dxa"/>
            <w:vAlign w:val="center"/>
          </w:tcPr>
          <w:p w14:paraId="7DA0E713">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采购方式</w:t>
            </w:r>
          </w:p>
        </w:tc>
        <w:tc>
          <w:tcPr>
            <w:tcW w:w="2095" w:type="dxa"/>
            <w:vAlign w:val="center"/>
          </w:tcPr>
          <w:p w14:paraId="5000B48A">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公开询价</w:t>
            </w:r>
          </w:p>
        </w:tc>
      </w:tr>
      <w:tr w14:paraId="73D7A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4" w:hRule="atLeast"/>
          <w:tblCellSpacing w:w="0" w:type="dxa"/>
        </w:trPr>
        <w:tc>
          <w:tcPr>
            <w:tcW w:w="884" w:type="dxa"/>
            <w:vAlign w:val="center"/>
          </w:tcPr>
          <w:p w14:paraId="5C7F13C9">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预算限额（元）</w:t>
            </w:r>
          </w:p>
        </w:tc>
        <w:tc>
          <w:tcPr>
            <w:tcW w:w="9146" w:type="dxa"/>
            <w:gridSpan w:val="3"/>
            <w:vAlign w:val="center"/>
          </w:tcPr>
          <w:p w14:paraId="2BC717ED">
            <w:pPr>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人民币17000.00</w:t>
            </w:r>
          </w:p>
        </w:tc>
      </w:tr>
      <w:tr w14:paraId="418D6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42" w:hRule="atLeast"/>
          <w:tblCellSpacing w:w="0" w:type="dxa"/>
        </w:trPr>
        <w:tc>
          <w:tcPr>
            <w:tcW w:w="884" w:type="dxa"/>
            <w:vAlign w:val="center"/>
          </w:tcPr>
          <w:p w14:paraId="264F7E03">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w:t>
            </w:r>
          </w:p>
          <w:p w14:paraId="05FC1670">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背景</w:t>
            </w:r>
          </w:p>
        </w:tc>
        <w:tc>
          <w:tcPr>
            <w:tcW w:w="9146" w:type="dxa"/>
            <w:gridSpan w:val="3"/>
            <w:vAlign w:val="center"/>
          </w:tcPr>
          <w:p w14:paraId="286C736C">
            <w:pPr>
              <w:ind w:left="442" w:leftChars="201" w:firstLine="14" w:firstLineChars="6"/>
              <w:jc w:val="both"/>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w:t>
            </w:r>
          </w:p>
          <w:p w14:paraId="5CE9C359">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近期，安全检查发现我院东侧板房区域部分仓库及走廊地面下陷，项目上部结构为轻型钢结构活动板房，地面为简易混凝土垫层或碎石基础，抗沉降能力较弱。根据《建设工程安全生产管理条例》《临时性建筑物应用技术规范》等法规文件要求，防范群死群伤事故、保障民生安全的现实需要。</w:t>
            </w:r>
            <w:bookmarkStart w:id="0" w:name="_GoBack"/>
            <w:bookmarkEnd w:id="0"/>
            <w:r>
              <w:rPr>
                <w:rFonts w:hint="eastAsia" w:ascii="仿宋_GB2312" w:hAnsi="仿宋_GB2312" w:eastAsia="仿宋_GB2312" w:cs="仿宋_GB2312"/>
                <w:b w:val="0"/>
                <w:bCs w:val="0"/>
                <w:sz w:val="24"/>
                <w:szCs w:val="24"/>
              </w:rPr>
              <w:t xml:space="preserve">我院拟开展下陷区域安全检测工作。本安全检测项目旨在通过专业技术手段，对板房区域地面沉降情况进行全面排查与评估，明确沉降等级、风险类型及整改方向。项目实施将为后续隐患治理提供科学依据，有助于建立“检测-评估-整改-复查”的闭环管理机制，推动临时建筑安全管理从“被动应急”向“主动防控”转变，切实保障使用人员生命财产安全，维护社会和谐稳定。 </w:t>
            </w:r>
          </w:p>
          <w:p w14:paraId="294736A8">
            <w:pPr>
              <w:ind w:firstLine="480" w:firstLineChars="200"/>
              <w:jc w:val="left"/>
              <w:rPr>
                <w:rFonts w:ascii="仿宋_GB2312" w:hAnsi="仿宋_GB2312" w:eastAsia="仿宋_GB2312" w:cs="仿宋_GB2312"/>
                <w:b w:val="0"/>
                <w:bCs w:val="0"/>
                <w:sz w:val="24"/>
                <w:szCs w:val="24"/>
              </w:rPr>
            </w:pPr>
          </w:p>
        </w:tc>
      </w:tr>
      <w:tr w14:paraId="59E6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trPr>
        <w:tc>
          <w:tcPr>
            <w:tcW w:w="884" w:type="dxa"/>
            <w:vAlign w:val="center"/>
          </w:tcPr>
          <w:p w14:paraId="203A1B95">
            <w:pP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报价人资质要求</w:t>
            </w:r>
          </w:p>
        </w:tc>
        <w:tc>
          <w:tcPr>
            <w:tcW w:w="9146" w:type="dxa"/>
            <w:gridSpan w:val="3"/>
          </w:tcPr>
          <w:p w14:paraId="560BB40D">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1.报价人必须具有独立法人资格（提供营业执照原件扫描件并加盖报价人公章）。 </w:t>
            </w:r>
          </w:p>
          <w:p w14:paraId="37A8C8D4">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2.本项目不接受联合体报价，不允许分包、转包，不接受报价人选用进口产品参与报价(由报价人在《政府采购报价及履约承诺函》中做出声明）。 </w:t>
            </w:r>
          </w:p>
          <w:p w14:paraId="31B624BC">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3.报价人近三年内无行贿犯罪记录（由报价人在《政府采购报价及履约承诺函》中做出声明）。 </w:t>
            </w:r>
          </w:p>
          <w:p w14:paraId="3651A005">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 </w:t>
            </w:r>
          </w:p>
          <w:p w14:paraId="22FA75DC">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5.参与本项目的报价人不存在被有关部门禁止参与政府采购活动且在有效期内的情况（由报价人在《政府采购报价及履约承诺函》中做出声明）。 </w:t>
            </w:r>
          </w:p>
          <w:p w14:paraId="26460E46">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★6.报价人营业执照的经营范围必须包含工程勘察等相关项目。 </w:t>
            </w:r>
          </w:p>
          <w:p w14:paraId="09AAA3B3">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★7.报价人必须具备工程勘察资质证书。 </w:t>
            </w:r>
          </w:p>
          <w:p w14:paraId="6B00A9CA">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★8.报价人必须具备甲级测绘资质证书。</w:t>
            </w:r>
          </w:p>
          <w:p w14:paraId="33A94839">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★9.提供</w:t>
            </w:r>
            <w:r>
              <w:rPr>
                <w:rFonts w:ascii="仿宋_GB2312" w:hAnsi="仿宋_GB2312" w:eastAsia="仿宋_GB2312" w:cs="仿宋_GB2312"/>
                <w:b w:val="0"/>
                <w:bCs w:val="0"/>
                <w:sz w:val="24"/>
                <w:szCs w:val="24"/>
              </w:rPr>
              <w:t>近3年同类项目验收证明（至少2例、提供相关证明材料复印件</w:t>
            </w:r>
            <w:r>
              <w:rPr>
                <w:rFonts w:hint="eastAsia" w:ascii="仿宋_GB2312" w:hAnsi="仿宋_GB2312" w:eastAsia="仿宋_GB2312" w:cs="仿宋_GB2312"/>
                <w:b w:val="0"/>
                <w:bCs w:val="0"/>
                <w:sz w:val="24"/>
                <w:szCs w:val="24"/>
              </w:rPr>
              <w:t>，并</w:t>
            </w:r>
            <w:r>
              <w:rPr>
                <w:rFonts w:ascii="仿宋_GB2312" w:hAnsi="仿宋_GB2312" w:eastAsia="仿宋_GB2312" w:cs="仿宋_GB2312"/>
                <w:b w:val="0"/>
                <w:bCs w:val="0"/>
                <w:sz w:val="24"/>
                <w:szCs w:val="24"/>
              </w:rPr>
              <w:t>加盖公章）。</w:t>
            </w:r>
          </w:p>
          <w:p w14:paraId="6A3DD06F">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r w14:paraId="1C630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1" w:hRule="atLeast"/>
          <w:tblCellSpacing w:w="0" w:type="dxa"/>
        </w:trPr>
        <w:tc>
          <w:tcPr>
            <w:tcW w:w="884" w:type="dxa"/>
            <w:tcBorders>
              <w:bottom w:val="single" w:color="auto" w:sz="4" w:space="0"/>
            </w:tcBorders>
            <w:vAlign w:val="center"/>
          </w:tcPr>
          <w:p w14:paraId="387B2E2D">
            <w:pPr>
              <w:pStyle w:val="5"/>
              <w:jc w:val="both"/>
              <w:rPr>
                <w:rFonts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项目目标</w:t>
            </w:r>
          </w:p>
          <w:p w14:paraId="0FBDC0DB">
            <w:pPr>
              <w:rPr>
                <w:rFonts w:ascii="仿宋_GB2312" w:hAnsi="仿宋_GB2312" w:eastAsia="仿宋_GB2312" w:cs="仿宋_GB2312"/>
                <w:b w:val="0"/>
                <w:bCs w:val="0"/>
                <w:sz w:val="24"/>
                <w:szCs w:val="24"/>
              </w:rPr>
            </w:pPr>
          </w:p>
        </w:tc>
        <w:tc>
          <w:tcPr>
            <w:tcW w:w="9146" w:type="dxa"/>
            <w:gridSpan w:val="3"/>
            <w:tcBorders>
              <w:bottom w:val="single" w:color="auto" w:sz="4" w:space="0"/>
            </w:tcBorders>
            <w:vAlign w:val="center"/>
          </w:tcPr>
          <w:p w14:paraId="38BDC281">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1.根本目标：确保检测出地铁板房区域下陷情况的真实性和客观性，为进一步的后续工作提供有利的依据。 </w:t>
            </w:r>
          </w:p>
          <w:p w14:paraId="4457EEA8">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2.质量目标：检测仪器必须是符合相关计量检测机构标准的，检测人员必须经过培训的专业检测人员。 </w:t>
            </w:r>
          </w:p>
          <w:p w14:paraId="7D401700">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3.安全目标：检测全过程严格遵守国家安全法规及医院安全管理制度，实现“零事故、零伤害、零污染”，确保医院正常运营、医护人员及患者安全不受影响，不发生安全事故。 </w:t>
            </w:r>
          </w:p>
          <w:p w14:paraId="6A480539">
            <w:pPr>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4.工期目标：在确保检测安全与质量的前提下，自接到甲方开工通知之日起，10 个工作日内完成全部检测及出具检测报告。</w:t>
            </w:r>
          </w:p>
        </w:tc>
      </w:tr>
      <w:tr w14:paraId="7E4C1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trPr>
        <w:tc>
          <w:tcPr>
            <w:tcW w:w="884" w:type="dxa"/>
            <w:vAlign w:val="center"/>
          </w:tcPr>
          <w:p w14:paraId="6B8415EB">
            <w:pPr>
              <w:rPr>
                <w:rFonts w:ascii="仿宋_GB2312" w:hAnsi="仿宋_GB2312" w:eastAsia="仿宋_GB2312" w:cs="仿宋_GB2312"/>
                <w:b w:val="0"/>
                <w:bCs w:val="0"/>
                <w:sz w:val="24"/>
                <w:szCs w:val="24"/>
              </w:rPr>
            </w:pPr>
            <w:r>
              <w:rPr>
                <w:rStyle w:val="14"/>
                <w:rFonts w:hint="eastAsia" w:ascii="仿宋_GB2312" w:hAnsi="仿宋_GB2312" w:eastAsia="仿宋_GB2312" w:cs="仿宋_GB2312"/>
                <w:b w:val="0"/>
                <w:bCs w:val="0"/>
                <w:color w:val="0F1115"/>
                <w:sz w:val="24"/>
                <w:szCs w:val="24"/>
                <w:shd w:val="clear" w:color="auto" w:fill="FFFFFF"/>
              </w:rPr>
              <w:t>服务内容与要求</w:t>
            </w:r>
          </w:p>
        </w:tc>
        <w:tc>
          <w:tcPr>
            <w:tcW w:w="9146" w:type="dxa"/>
            <w:gridSpan w:val="3"/>
            <w:vAlign w:val="center"/>
          </w:tcPr>
          <w:p w14:paraId="23B3B552">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本次服务为场地地质塌陷专项监测检测服务，采用地质雷达无损检测技术开展地下空洞、土体疏松、地层裂隙、塌陷隐患等不良地质体探测工作，具体服务内容细化如下：</w:t>
            </w:r>
          </w:p>
          <w:p w14:paraId="27DE97BC">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1. </w:t>
            </w:r>
            <w:r>
              <w:rPr>
                <w:rFonts w:hint="eastAsia" w:ascii="仿宋_GB2312" w:hAnsi="仿宋_GB2312" w:eastAsia="仿宋_GB2312" w:cs="仿宋_GB2312"/>
                <w:b w:val="0"/>
                <w:bCs w:val="0"/>
                <w:sz w:val="24"/>
                <w:szCs w:val="24"/>
              </w:rPr>
              <w:t>检测设备合规性要求</w:t>
            </w:r>
          </w:p>
          <w:p w14:paraId="5C8C6455">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监测所使用的地质雷达主机、天线、数据采集设备、辅助测量设备等全部仪器设备，必须严格符合现行国家规范、行业技术标准（包含但不限于《城市地下管线探测技术规程》《地质雷达法技术规程》等）。所有设备需具备有效的产品出厂合格证、第三方质量检验合格证、计量检定</w:t>
            </w:r>
            <w:r>
              <w:rPr>
                <w:rFonts w:ascii="仿宋_GB2312" w:hAnsi="仿宋_GB2312" w:eastAsia="仿宋_GB2312" w:cs="仿宋_GB2312"/>
                <w:b w:val="0"/>
                <w:bCs w:val="0"/>
                <w:sz w:val="24"/>
                <w:szCs w:val="24"/>
              </w:rPr>
              <w:t>/校准证书，证书在有效期内。检测前需向采购方提交全套设备资质文件、校准报告备查，严禁使用过期、不合格、老旧故障、精度不达标设备开展检测作业，确保监测数据真实、精准、有效。</w:t>
            </w:r>
          </w:p>
          <w:p w14:paraId="5822062E">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2. </w:t>
            </w:r>
            <w:r>
              <w:rPr>
                <w:rFonts w:hint="eastAsia" w:ascii="仿宋_GB2312" w:hAnsi="仿宋_GB2312" w:eastAsia="仿宋_GB2312" w:cs="仿宋_GB2312"/>
                <w:b w:val="0"/>
                <w:bCs w:val="0"/>
                <w:sz w:val="24"/>
                <w:szCs w:val="24"/>
              </w:rPr>
              <w:t>设备权责及费用界定</w:t>
            </w:r>
          </w:p>
          <w:p w14:paraId="7BBAE906">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监测所用全部检测设备、辅助器材、耗材均由检测方全权负责采购、调配、运输、安装、调试、保管及退场。无论设备价值高低、采购渠道、运输方式、设备权属，在本次项目服务周期内，设备进场、运输、存放、作业、退场过程中产生的所有费用、损耗、安全风险、损毁丢失责任、违章处罚及一切连带责任，均由检测方独立承担，采购方不承担任何费用、责任及相关兜底义务。</w:t>
            </w:r>
          </w:p>
          <w:p w14:paraId="6DB0A2A5">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3. </w:t>
            </w:r>
            <w:r>
              <w:rPr>
                <w:rFonts w:hint="eastAsia" w:ascii="仿宋_GB2312" w:hAnsi="仿宋_GB2312" w:eastAsia="仿宋_GB2312" w:cs="仿宋_GB2312"/>
                <w:b w:val="0"/>
                <w:bCs w:val="0"/>
                <w:sz w:val="24"/>
                <w:szCs w:val="24"/>
              </w:rPr>
              <w:t>检测报告签字生效机制</w:t>
            </w:r>
          </w:p>
          <w:p w14:paraId="77F2282D">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检测方完成外业数据采集、内业数据处理、图像解析、隐患研判、成果汇总后，编制正式合规检测报告。报告须经检测方具备相关专业中级及以上技术职称的在岗工程师审核、签字、加盖执业</w:t>
            </w:r>
            <w:r>
              <w:rPr>
                <w:rFonts w:ascii="仿宋_GB2312" w:hAnsi="仿宋_GB2312" w:eastAsia="仿宋_GB2312" w:cs="仿宋_GB2312"/>
                <w:b w:val="0"/>
                <w:bCs w:val="0"/>
                <w:sz w:val="24"/>
                <w:szCs w:val="24"/>
              </w:rPr>
              <w:t>/项目专用章，同时由采购方现场负责人或相关管理人员签字确认后，报告方可正式生效，作为项目验收、隐患整改、工程研判的正式依据。无双方签字确认的报告视为无效成果，采购方有权不予验收、不予结算。</w:t>
            </w:r>
          </w:p>
          <w:p w14:paraId="307E19E6">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4. </w:t>
            </w:r>
            <w:r>
              <w:rPr>
                <w:rFonts w:hint="eastAsia" w:ascii="仿宋_GB2312" w:hAnsi="仿宋_GB2312" w:eastAsia="仿宋_GB2312" w:cs="仿宋_GB2312"/>
                <w:b w:val="0"/>
                <w:bCs w:val="0"/>
                <w:sz w:val="24"/>
                <w:szCs w:val="24"/>
              </w:rPr>
              <w:t>服务履约标准</w:t>
            </w:r>
          </w:p>
          <w:p w14:paraId="074BA103">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检测方需严格按照本项目报价文件、技术方案、投标承诺及国家、行业相关规范标准开展全过程监测服务，严格遵守项目工期要求、作业标准、服务规范，不得擅自缩减作业内容、降低检测精度、更改检测方案、拖延服务工期。全程履约匹配投标及合同约定的服务标准、人员配置、技术标准、成果质量要求，确保服务全过程合规、规范、达标。</w:t>
            </w:r>
          </w:p>
          <w:p w14:paraId="6B7B7E54">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5. </w:t>
            </w:r>
            <w:r>
              <w:rPr>
                <w:rFonts w:hint="eastAsia" w:ascii="仿宋_GB2312" w:hAnsi="仿宋_GB2312" w:eastAsia="仿宋_GB2312" w:cs="仿宋_GB2312"/>
                <w:b w:val="0"/>
                <w:bCs w:val="0"/>
                <w:sz w:val="24"/>
                <w:szCs w:val="24"/>
              </w:rPr>
              <w:t>核心检测方式</w:t>
            </w:r>
          </w:p>
          <w:p w14:paraId="7569E897">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地质塌陷监测统一采用高精度地质雷达无损检测技术，通过高频雷达天线发射电磁波对地下地层结构进行连续扫描探测，精准排查探测范围内地下空洞、土体脱空、地层松散、隐伏裂隙、岩溶发育、地基失稳等地质塌陷隐患，完成全覆盖探测、数据采集、隐患定位、范围界定及风险评级。检测作业遵循无损、高效、精准、全覆盖的原则，不破坏原有场地及构筑物。</w:t>
            </w:r>
          </w:p>
          <w:p w14:paraId="5D1DB978">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6. </w:t>
            </w:r>
            <w:r>
              <w:rPr>
                <w:rFonts w:hint="eastAsia" w:ascii="仿宋_GB2312" w:hAnsi="仿宋_GB2312" w:eastAsia="仿宋_GB2312" w:cs="仿宋_GB2312"/>
                <w:b w:val="0"/>
                <w:bCs w:val="0"/>
                <w:sz w:val="24"/>
                <w:szCs w:val="24"/>
              </w:rPr>
              <w:t>项目预计工作量</w:t>
            </w:r>
          </w:p>
          <w:p w14:paraId="31CCFB04">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本次地质雷达塌陷监测探测线路总长</w:t>
            </w:r>
            <w:r>
              <w:rPr>
                <w:rFonts w:ascii="仿宋_GB2312" w:hAnsi="仿宋_GB2312" w:eastAsia="仿宋_GB2312" w:cs="仿宋_GB2312"/>
                <w:b w:val="0"/>
                <w:bCs w:val="0"/>
                <w:sz w:val="24"/>
                <w:szCs w:val="24"/>
              </w:rPr>
              <w:t>1km，为线路探测。实际作业工作量可根据现场地形、场地条件、隐患分布、采购方现场要求进行合理微调，检测方需无条件配合现场作业调整，保证探测范围无盲区、无遗漏，最终以实际合规完成的有效探测工作量为准。</w:t>
            </w:r>
          </w:p>
          <w:p w14:paraId="1BECA18F">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二、服务总体要求</w:t>
            </w:r>
          </w:p>
          <w:p w14:paraId="662D37E6">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为保障本次地质塌陷监测工作质量，精准排查场地地质安全隐患，规范全过程作业及成果交付，对检测方服务工作提出以下专项要求：</w:t>
            </w:r>
          </w:p>
          <w:p w14:paraId="4B6DA936">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1. </w:t>
            </w:r>
            <w:r>
              <w:rPr>
                <w:rFonts w:hint="eastAsia" w:ascii="仿宋_GB2312" w:hAnsi="仿宋_GB2312" w:eastAsia="仿宋_GB2312" w:cs="仿宋_GB2312"/>
                <w:b w:val="0"/>
                <w:bCs w:val="0"/>
                <w:sz w:val="24"/>
                <w:szCs w:val="24"/>
              </w:rPr>
              <w:t>隐患研判及整改技术支持服务</w:t>
            </w:r>
          </w:p>
          <w:p w14:paraId="11E5F146">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检测方完成监测探测工作后，需对检测数据、雷达图像进行专业解析，精准识别场地内各类地质塌陷风险点、隐患区域，明确隐患位置、埋深、范围、风险等级及危害程度。针对排查发现的所有安全隐患及地质风险问题，需结合现场实际及行业规范，提供针对性、可落地的专项整改建议、风险管控方案、应急处置建议。全程配合采购方开展隐患复核、整改指导、技术答疑、现场交底工作，协助采购方完成隐患闭环管控。</w:t>
            </w:r>
          </w:p>
          <w:p w14:paraId="263F17FF">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2. </w:t>
            </w:r>
            <w:r>
              <w:rPr>
                <w:rFonts w:hint="eastAsia" w:ascii="仿宋_GB2312" w:hAnsi="仿宋_GB2312" w:eastAsia="仿宋_GB2312" w:cs="仿宋_GB2312"/>
                <w:b w:val="0"/>
                <w:bCs w:val="0"/>
                <w:sz w:val="24"/>
                <w:szCs w:val="24"/>
              </w:rPr>
              <w:t>检测报告交付要求</w:t>
            </w:r>
          </w:p>
          <w:p w14:paraId="33C46749">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服务完成后，检测方需整理全套合规检测成果，出具</w:t>
            </w:r>
            <w:r>
              <w:rPr>
                <w:rFonts w:ascii="仿宋_GB2312" w:hAnsi="仿宋_GB2312" w:eastAsia="仿宋_GB2312" w:cs="仿宋_GB2312"/>
                <w:b w:val="0"/>
                <w:bCs w:val="0"/>
                <w:sz w:val="24"/>
                <w:szCs w:val="24"/>
              </w:rPr>
              <w:t>3份纸质版正式检测报告，同时配套提供电子版报告及原始探测数据、雷达图谱、现场影像资料。报告格式规范、内容完整、数据真实、结论严谨，包含项目概况、检测依据、设备参数、作业流程、探测数据、图谱分析、隐患统计、风险评价、整改建议、检测结论等完整内容，完全满足项目归档、验收、监管、溯源要求，确保报告具备法律效力和行业合规性。</w:t>
            </w:r>
          </w:p>
          <w:p w14:paraId="31587300">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3. </w:t>
            </w:r>
            <w:r>
              <w:rPr>
                <w:rFonts w:hint="eastAsia" w:ascii="仿宋_GB2312" w:hAnsi="仿宋_GB2312" w:eastAsia="仿宋_GB2312" w:cs="仿宋_GB2312"/>
                <w:b w:val="0"/>
                <w:bCs w:val="0"/>
                <w:sz w:val="24"/>
                <w:szCs w:val="24"/>
              </w:rPr>
              <w:t>检测质量与结果终身负责</w:t>
            </w:r>
          </w:p>
          <w:p w14:paraId="295CB108">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检测方为本项目所有监测数据、检测结论、成果报告的第一责任主体，对检测结果的真实性、准确性、完整性、有效性全权负责。作业过程中必须做到全覆盖探测、无盲区扫描、无漏检、无少检、无错判、无误判，严禁敷衍作业、数据造假、隐瞒隐患。若因检测疏漏、技术失误、成果失真导致后期出现地质塌陷隐患未被发现、引发安全事故或工程损失，由检测方承担全部经济责任、安全责任及相关法律责任。</w:t>
            </w:r>
          </w:p>
          <w:p w14:paraId="609262F3">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4. </w:t>
            </w:r>
            <w:r>
              <w:rPr>
                <w:rFonts w:hint="eastAsia" w:ascii="仿宋_GB2312" w:hAnsi="仿宋_GB2312" w:eastAsia="仿宋_GB2312" w:cs="仿宋_GB2312"/>
                <w:b w:val="0"/>
                <w:bCs w:val="0"/>
                <w:sz w:val="24"/>
                <w:szCs w:val="24"/>
              </w:rPr>
              <w:t>前期现场踏勘确认要求</w:t>
            </w:r>
          </w:p>
          <w:p w14:paraId="57F3CAED">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检测方在项目报价、方案编制前，需自主安排专业技术人员前往项目现场开展实地踏勘，全面核查现场地形地貌、场地环境、作业条件、探测线路、周边构筑物、地下管线、障碍物分布等实际情况，精准核对作业范围、施工难点、风险点，结合现场实际优化检测方案，合理核定作业成本及工期。检测方一经报价、签约，即视为已完全熟知现场所有工况条件，后期不得以现场条件不符、预估偏差等理由提出加价、延期、变更服务标准等诉求。</w:t>
            </w:r>
          </w:p>
          <w:p w14:paraId="3961F5EA">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5. </w:t>
            </w:r>
            <w:r>
              <w:rPr>
                <w:rFonts w:hint="eastAsia" w:ascii="仿宋_GB2312" w:hAnsi="仿宋_GB2312" w:eastAsia="仿宋_GB2312" w:cs="仿宋_GB2312"/>
                <w:b w:val="0"/>
                <w:bCs w:val="0"/>
                <w:sz w:val="24"/>
                <w:szCs w:val="24"/>
              </w:rPr>
              <w:t>作业规范要求</w:t>
            </w:r>
          </w:p>
          <w:p w14:paraId="4BB34D4F">
            <w:pPr>
              <w:pStyle w:val="22"/>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检测方需配备持证专业技术人员进场作业，作业人员需熟悉地质雷达检测技术及地质塌陷隐患识别标准，严格遵守现场安全管理规定，落实安全作业防护措施，做到文明施工、安全作业。外业采集数据需完整留存，内业分析严谨细致，全程接受采购方监督检查，积极配合采购方的现场抽查、过程核验、成果验收工作。</w:t>
            </w:r>
          </w:p>
          <w:p w14:paraId="4F6A7383">
            <w:pPr>
              <w:pStyle w:val="22"/>
              <w:ind w:firstLine="480"/>
              <w:jc w:val="left"/>
              <w:rPr>
                <w:rFonts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 xml:space="preserve">6. </w:t>
            </w:r>
            <w:r>
              <w:rPr>
                <w:rFonts w:hint="eastAsia" w:ascii="仿宋_GB2312" w:hAnsi="仿宋_GB2312" w:eastAsia="仿宋_GB2312" w:cs="仿宋_GB2312"/>
                <w:b w:val="0"/>
                <w:bCs w:val="0"/>
                <w:sz w:val="24"/>
                <w:szCs w:val="24"/>
              </w:rPr>
              <w:t>工期及售后保障要求</w:t>
            </w:r>
          </w:p>
          <w:p w14:paraId="01033BA2">
            <w:pPr>
              <w:pStyle w:val="22"/>
              <w:spacing w:line="400" w:lineRule="exact"/>
              <w:ind w:firstLine="48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检测方需在合同及承诺工期内完成全部现场探测、数据处理、报告编制、成果交付工作，不得无故拖延。报告交付后，需提供长期技术售后支持，针对采购方提出的报告疑问、数据复核、隐患解读等需求，及时提供专业答疑及技术配合服务。</w:t>
            </w:r>
          </w:p>
        </w:tc>
      </w:tr>
      <w:tr w14:paraId="24DDA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trPr>
        <w:tc>
          <w:tcPr>
            <w:tcW w:w="884" w:type="dxa"/>
            <w:vAlign w:val="center"/>
          </w:tcPr>
          <w:p w14:paraId="626D8A3B">
            <w:pPr>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商务需求</w:t>
            </w:r>
          </w:p>
        </w:tc>
        <w:tc>
          <w:tcPr>
            <w:tcW w:w="9146" w:type="dxa"/>
            <w:gridSpan w:val="3"/>
            <w:vAlign w:val="center"/>
          </w:tcPr>
          <w:tbl>
            <w:tblPr>
              <w:tblStyle w:val="11"/>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40"/>
              <w:gridCol w:w="6669"/>
            </w:tblGrid>
            <w:tr w14:paraId="5CD3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3" w:type="dxa"/>
                  <w:vAlign w:val="center"/>
                </w:tcPr>
                <w:p w14:paraId="63044764">
                  <w:pPr>
                    <w:adjustRightInd w:val="0"/>
                    <w:snapToGrid w:val="0"/>
                    <w:spacing w:line="400" w:lineRule="exact"/>
                    <w:ind w:firstLine="240" w:firstLineChars="1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840" w:type="dxa"/>
                  <w:vAlign w:val="center"/>
                </w:tcPr>
                <w:p w14:paraId="3633B686">
                  <w:pPr>
                    <w:adjustRightInd w:val="0"/>
                    <w:snapToGrid w:val="0"/>
                    <w:spacing w:line="400" w:lineRule="exact"/>
                    <w:ind w:firstLine="480" w:firstLineChars="200"/>
                    <w:jc w:val="both"/>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目录</w:t>
                  </w:r>
                </w:p>
              </w:tc>
              <w:tc>
                <w:tcPr>
                  <w:tcW w:w="6669" w:type="dxa"/>
                  <w:vAlign w:val="center"/>
                </w:tcPr>
                <w:p w14:paraId="78EDFB6F">
                  <w:pPr>
                    <w:adjustRightInd w:val="0"/>
                    <w:snapToGrid w:val="0"/>
                    <w:spacing w:line="400" w:lineRule="exact"/>
                    <w:ind w:firstLine="480" w:firstLineChars="200"/>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商务需求</w:t>
                  </w:r>
                </w:p>
              </w:tc>
            </w:tr>
            <w:tr w14:paraId="75DA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3" w:type="dxa"/>
                  <w:vAlign w:val="center"/>
                </w:tcPr>
                <w:p w14:paraId="417F4361">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840" w:type="dxa"/>
                  <w:vAlign w:val="center"/>
                </w:tcPr>
                <w:p w14:paraId="4A48B3B5">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售后服务</w:t>
                  </w:r>
                </w:p>
              </w:tc>
              <w:tc>
                <w:tcPr>
                  <w:tcW w:w="6669" w:type="dxa"/>
                </w:tcPr>
                <w:p w14:paraId="62230DEE">
                  <w:pPr>
                    <w:adjustRightInd w:val="0"/>
                    <w:snapToGrid w:val="0"/>
                    <w:spacing w:line="400" w:lineRule="exact"/>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检测后须配合后期施工方提供专业意见和技术指导</w:t>
                  </w:r>
                </w:p>
              </w:tc>
            </w:tr>
            <w:tr w14:paraId="30E4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3" w:type="dxa"/>
                  <w:vAlign w:val="center"/>
                </w:tcPr>
                <w:p w14:paraId="511DDCC1">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840" w:type="dxa"/>
                  <w:vAlign w:val="center"/>
                </w:tcPr>
                <w:p w14:paraId="01AAC2BE">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预算说明</w:t>
                  </w:r>
                </w:p>
              </w:tc>
              <w:tc>
                <w:tcPr>
                  <w:tcW w:w="6669" w:type="dxa"/>
                </w:tcPr>
                <w:p w14:paraId="0EFD9259">
                  <w:pPr>
                    <w:adjustRightInd w:val="0"/>
                    <w:snapToGrid w:val="0"/>
                    <w:spacing w:line="400" w:lineRule="exact"/>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本项目报价不允许超过本次预算限额</w:t>
                  </w:r>
                </w:p>
              </w:tc>
            </w:tr>
            <w:tr w14:paraId="1084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3" w:type="dxa"/>
                  <w:vAlign w:val="center"/>
                </w:tcPr>
                <w:p w14:paraId="386B99CA">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w:t>
                  </w:r>
                </w:p>
              </w:tc>
              <w:tc>
                <w:tcPr>
                  <w:tcW w:w="1840" w:type="dxa"/>
                  <w:vAlign w:val="center"/>
                </w:tcPr>
                <w:p w14:paraId="12F7ADDB">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项目服务地点</w:t>
                  </w:r>
                </w:p>
              </w:tc>
              <w:tc>
                <w:tcPr>
                  <w:tcW w:w="6669" w:type="dxa"/>
                </w:tcPr>
                <w:p w14:paraId="42D56B5F">
                  <w:pPr>
                    <w:adjustRightInd w:val="0"/>
                    <w:snapToGrid w:val="0"/>
                    <w:spacing w:line="400" w:lineRule="exact"/>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南方医科大学深圳口腔医院（坪山）</w:t>
                  </w:r>
                </w:p>
              </w:tc>
            </w:tr>
            <w:tr w14:paraId="6F60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2A2B229F">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w:t>
                  </w:r>
                </w:p>
              </w:tc>
              <w:tc>
                <w:tcPr>
                  <w:tcW w:w="1840" w:type="dxa"/>
                  <w:vAlign w:val="center"/>
                </w:tcPr>
                <w:p w14:paraId="53DBE788">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关于付款</w:t>
                  </w:r>
                </w:p>
              </w:tc>
              <w:tc>
                <w:tcPr>
                  <w:tcW w:w="6669" w:type="dxa"/>
                  <w:vAlign w:val="center"/>
                </w:tcPr>
                <w:p w14:paraId="364E27F8">
                  <w:pPr>
                    <w:adjustRightInd w:val="0"/>
                    <w:snapToGrid w:val="0"/>
                    <w:spacing w:line="400" w:lineRule="exact"/>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出具项目合规项目检查报告后，一次性支付支服务款</w:t>
                  </w:r>
                </w:p>
              </w:tc>
            </w:tr>
            <w:tr w14:paraId="06CD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57C19AD3">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w:t>
                  </w:r>
                </w:p>
              </w:tc>
              <w:tc>
                <w:tcPr>
                  <w:tcW w:w="1840" w:type="dxa"/>
                  <w:vAlign w:val="center"/>
                </w:tcPr>
                <w:p w14:paraId="395D677F">
                  <w:pPr>
                    <w:adjustRightInd w:val="0"/>
                    <w:snapToGrid w:val="0"/>
                    <w:spacing w:line="40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关于验收</w:t>
                  </w:r>
                </w:p>
              </w:tc>
              <w:tc>
                <w:tcPr>
                  <w:tcW w:w="6669" w:type="dxa"/>
                </w:tcPr>
                <w:p w14:paraId="4F583A9E">
                  <w:pPr>
                    <w:adjustRightInd w:val="0"/>
                    <w:snapToGrid w:val="0"/>
                    <w:spacing w:line="400" w:lineRule="exact"/>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接到开工通知后，10天（日历日）内完成检测工程和出具检测报告。</w:t>
                  </w:r>
                </w:p>
              </w:tc>
            </w:tr>
          </w:tbl>
          <w:p w14:paraId="728A2E0B">
            <w:pPr>
              <w:jc w:val="left"/>
              <w:rPr>
                <w:rFonts w:ascii="仿宋_GB2312" w:hAnsi="仿宋_GB2312" w:eastAsia="仿宋_GB2312" w:cs="仿宋_GB2312"/>
                <w:b w:val="0"/>
                <w:bCs w:val="0"/>
                <w:sz w:val="24"/>
                <w:szCs w:val="24"/>
              </w:rPr>
            </w:pPr>
          </w:p>
        </w:tc>
      </w:tr>
      <w:tr w14:paraId="0553C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trPr>
        <w:tc>
          <w:tcPr>
            <w:tcW w:w="884" w:type="dxa"/>
            <w:vAlign w:val="center"/>
          </w:tcPr>
          <w:p w14:paraId="772AA9AD">
            <w:pPr>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注意事项</w:t>
            </w:r>
          </w:p>
        </w:tc>
        <w:tc>
          <w:tcPr>
            <w:tcW w:w="9146" w:type="dxa"/>
            <w:gridSpan w:val="3"/>
            <w:vAlign w:val="center"/>
          </w:tcPr>
          <w:p w14:paraId="44C98DDD">
            <w:pPr>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1.需求中打★号的为必须满足项，报价方需在报价文件中做出承诺满足该要求，若报价方中标后无法执行，采购方有权撤销报价方的中标资质，撤销已签订的合同，并追究报价方的法律责任。</w:t>
            </w:r>
          </w:p>
          <w:p w14:paraId="79DC204E">
            <w:pPr>
              <w:jc w:val="lef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2.定标方式：满足本项目实质性需求以及项目目标的前提下，低价中标。</w:t>
            </w:r>
          </w:p>
        </w:tc>
      </w:tr>
    </w:tbl>
    <w:p w14:paraId="6B2035B0"/>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1" w:fontKey="{4700134A-168A-4486-80AA-2E38FB875C62}"/>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roman"/>
    <w:pitch w:val="default"/>
    <w:sig w:usb0="00000001" w:usb1="08000000" w:usb2="00000000" w:usb3="00000000" w:csb0="00040000" w:csb1="00000000"/>
    <w:embedRegular r:id="rId2" w:fontKey="{BE0AEA32-C03E-424E-8895-41592375BB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0000090A"/>
    <w:rsid w:val="00002A27"/>
    <w:rsid w:val="00011B82"/>
    <w:rsid w:val="00022396"/>
    <w:rsid w:val="0002309D"/>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76B3"/>
    <w:rsid w:val="00111D09"/>
    <w:rsid w:val="00111F90"/>
    <w:rsid w:val="001251A8"/>
    <w:rsid w:val="0012630E"/>
    <w:rsid w:val="00141515"/>
    <w:rsid w:val="00156886"/>
    <w:rsid w:val="00162B46"/>
    <w:rsid w:val="001641B0"/>
    <w:rsid w:val="00171162"/>
    <w:rsid w:val="0017382F"/>
    <w:rsid w:val="001818F0"/>
    <w:rsid w:val="0018247A"/>
    <w:rsid w:val="00185417"/>
    <w:rsid w:val="0018666A"/>
    <w:rsid w:val="00191CF3"/>
    <w:rsid w:val="00191D5E"/>
    <w:rsid w:val="001967B4"/>
    <w:rsid w:val="001A049C"/>
    <w:rsid w:val="001B1FD0"/>
    <w:rsid w:val="001D10CC"/>
    <w:rsid w:val="001E01F8"/>
    <w:rsid w:val="001E28FF"/>
    <w:rsid w:val="001E4011"/>
    <w:rsid w:val="001E6A63"/>
    <w:rsid w:val="001F4D5B"/>
    <w:rsid w:val="00206B02"/>
    <w:rsid w:val="00215437"/>
    <w:rsid w:val="00215D3B"/>
    <w:rsid w:val="002160AE"/>
    <w:rsid w:val="002175B6"/>
    <w:rsid w:val="00221AC0"/>
    <w:rsid w:val="00230A6D"/>
    <w:rsid w:val="00230FBA"/>
    <w:rsid w:val="002320C7"/>
    <w:rsid w:val="00237E82"/>
    <w:rsid w:val="002473A7"/>
    <w:rsid w:val="00251BDD"/>
    <w:rsid w:val="00254BAE"/>
    <w:rsid w:val="002639FF"/>
    <w:rsid w:val="0026583B"/>
    <w:rsid w:val="00266845"/>
    <w:rsid w:val="00275D78"/>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3050C"/>
    <w:rsid w:val="00431DC1"/>
    <w:rsid w:val="00435F5A"/>
    <w:rsid w:val="00441374"/>
    <w:rsid w:val="00444170"/>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7DD5"/>
    <w:rsid w:val="005035FD"/>
    <w:rsid w:val="0051104B"/>
    <w:rsid w:val="00512E92"/>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3790D"/>
    <w:rsid w:val="00740B8E"/>
    <w:rsid w:val="00743B8A"/>
    <w:rsid w:val="00745BFD"/>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834"/>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7B9C"/>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728"/>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0F7F"/>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2E47"/>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273A9"/>
    <w:rsid w:val="00D34AD3"/>
    <w:rsid w:val="00D3536B"/>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208AE"/>
    <w:rsid w:val="00E22B5A"/>
    <w:rsid w:val="00E23C4D"/>
    <w:rsid w:val="00E307DD"/>
    <w:rsid w:val="00E31C89"/>
    <w:rsid w:val="00E341E0"/>
    <w:rsid w:val="00E42FBE"/>
    <w:rsid w:val="00E44985"/>
    <w:rsid w:val="00E47595"/>
    <w:rsid w:val="00E56DF7"/>
    <w:rsid w:val="00E56E98"/>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EFF"/>
    <w:rsid w:val="00FF3F47"/>
    <w:rsid w:val="00FF46CD"/>
    <w:rsid w:val="00FF53FC"/>
    <w:rsid w:val="00FF55B5"/>
    <w:rsid w:val="00FF6C23"/>
    <w:rsid w:val="02B96468"/>
    <w:rsid w:val="02C24BF1"/>
    <w:rsid w:val="02DC6D3A"/>
    <w:rsid w:val="035937A7"/>
    <w:rsid w:val="03655CA8"/>
    <w:rsid w:val="06DD649D"/>
    <w:rsid w:val="072F4F4B"/>
    <w:rsid w:val="07DE2D8B"/>
    <w:rsid w:val="08745B19"/>
    <w:rsid w:val="0A821835"/>
    <w:rsid w:val="0B30303F"/>
    <w:rsid w:val="0BCE7613"/>
    <w:rsid w:val="0BF17A23"/>
    <w:rsid w:val="0C6A2581"/>
    <w:rsid w:val="0F056591"/>
    <w:rsid w:val="10353802"/>
    <w:rsid w:val="10923340"/>
    <w:rsid w:val="121E0D58"/>
    <w:rsid w:val="12CD345A"/>
    <w:rsid w:val="130A1A2D"/>
    <w:rsid w:val="1349016D"/>
    <w:rsid w:val="18483F6C"/>
    <w:rsid w:val="189B3D4A"/>
    <w:rsid w:val="18A63D25"/>
    <w:rsid w:val="1C8C6544"/>
    <w:rsid w:val="1CE7377A"/>
    <w:rsid w:val="1D013B19"/>
    <w:rsid w:val="1D216C8C"/>
    <w:rsid w:val="1D4B4E83"/>
    <w:rsid w:val="1D9D585A"/>
    <w:rsid w:val="1E647772"/>
    <w:rsid w:val="1EAC4C7B"/>
    <w:rsid w:val="1FCB63F3"/>
    <w:rsid w:val="212E4A3F"/>
    <w:rsid w:val="246C7E92"/>
    <w:rsid w:val="250D45D9"/>
    <w:rsid w:val="25433787"/>
    <w:rsid w:val="25757B75"/>
    <w:rsid w:val="277272C6"/>
    <w:rsid w:val="280F640A"/>
    <w:rsid w:val="28924EE2"/>
    <w:rsid w:val="29121B7F"/>
    <w:rsid w:val="291256ED"/>
    <w:rsid w:val="2B964CE9"/>
    <w:rsid w:val="2CBC0D57"/>
    <w:rsid w:val="2CFC3A3E"/>
    <w:rsid w:val="2DE956D9"/>
    <w:rsid w:val="2EA8720D"/>
    <w:rsid w:val="2ECF6B10"/>
    <w:rsid w:val="2EE76884"/>
    <w:rsid w:val="2F426BD9"/>
    <w:rsid w:val="30066945"/>
    <w:rsid w:val="304C24A0"/>
    <w:rsid w:val="30C45E54"/>
    <w:rsid w:val="31CD2942"/>
    <w:rsid w:val="32D225EA"/>
    <w:rsid w:val="338950BF"/>
    <w:rsid w:val="33E462EB"/>
    <w:rsid w:val="341D1E98"/>
    <w:rsid w:val="344C063B"/>
    <w:rsid w:val="35246EC1"/>
    <w:rsid w:val="37B22EAA"/>
    <w:rsid w:val="382D42DF"/>
    <w:rsid w:val="38A04AB1"/>
    <w:rsid w:val="38B467AE"/>
    <w:rsid w:val="39ED6B3B"/>
    <w:rsid w:val="3A053765"/>
    <w:rsid w:val="3B3913E9"/>
    <w:rsid w:val="3C0267B9"/>
    <w:rsid w:val="3E083768"/>
    <w:rsid w:val="3EFC4A0B"/>
    <w:rsid w:val="40D52048"/>
    <w:rsid w:val="40F36398"/>
    <w:rsid w:val="410B2C87"/>
    <w:rsid w:val="41CF62FB"/>
    <w:rsid w:val="423170C2"/>
    <w:rsid w:val="42913E89"/>
    <w:rsid w:val="46D1677D"/>
    <w:rsid w:val="47861161"/>
    <w:rsid w:val="47F4705A"/>
    <w:rsid w:val="48C4659A"/>
    <w:rsid w:val="4A8E67F5"/>
    <w:rsid w:val="4C06511B"/>
    <w:rsid w:val="4C697BB1"/>
    <w:rsid w:val="4DD52FF7"/>
    <w:rsid w:val="4E3F716D"/>
    <w:rsid w:val="4EE41BC3"/>
    <w:rsid w:val="4EEE63C5"/>
    <w:rsid w:val="4FBB09D8"/>
    <w:rsid w:val="4FC652ED"/>
    <w:rsid w:val="50306FB5"/>
    <w:rsid w:val="511300BE"/>
    <w:rsid w:val="515F7B5F"/>
    <w:rsid w:val="53F215D4"/>
    <w:rsid w:val="541505F1"/>
    <w:rsid w:val="5479624C"/>
    <w:rsid w:val="573D7CA0"/>
    <w:rsid w:val="58DE1302"/>
    <w:rsid w:val="593C217C"/>
    <w:rsid w:val="59A239CF"/>
    <w:rsid w:val="5A07531E"/>
    <w:rsid w:val="5A6C4CE3"/>
    <w:rsid w:val="5A96449D"/>
    <w:rsid w:val="5B353327"/>
    <w:rsid w:val="5B645BA3"/>
    <w:rsid w:val="5BB16E51"/>
    <w:rsid w:val="5C915E6B"/>
    <w:rsid w:val="5CB35A78"/>
    <w:rsid w:val="5D467A6D"/>
    <w:rsid w:val="5F5244A8"/>
    <w:rsid w:val="63947147"/>
    <w:rsid w:val="640C0196"/>
    <w:rsid w:val="65C6799D"/>
    <w:rsid w:val="678837E7"/>
    <w:rsid w:val="6844104D"/>
    <w:rsid w:val="6A0513A9"/>
    <w:rsid w:val="6C907DD7"/>
    <w:rsid w:val="75C50338"/>
    <w:rsid w:val="76022B63"/>
    <w:rsid w:val="79A050F6"/>
    <w:rsid w:val="7A2C0161"/>
    <w:rsid w:val="7BF1577C"/>
    <w:rsid w:val="7C0C5586"/>
    <w:rsid w:val="7C6D24C9"/>
    <w:rsid w:val="7CDE6F23"/>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宋体" w:hAnsi="宋体" w:eastAsia="宋体" w:cs="Times New Roman"/>
      <w:b/>
      <w:bCs/>
      <w:color w:val="000000"/>
      <w:sz w:val="22"/>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semiHidden/>
    <w:unhideWhenUsed/>
    <w:uiPriority w:val="99"/>
    <w:pPr>
      <w:keepNext/>
      <w:keepLines/>
      <w:spacing w:before="260" w:after="260" w:line="413" w:lineRule="auto"/>
      <w:outlineLvl w:val="1"/>
    </w:pPr>
    <w:rPr>
      <w:rFonts w:ascii="Arial" w:hAnsi="Arial" w:eastAsia="黑体"/>
      <w:b w:val="0"/>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w:basedOn w:val="1"/>
    <w:unhideWhenUsed/>
    <w:qFormat/>
    <w:uiPriority w:val="99"/>
    <w:pPr>
      <w:spacing w:after="120"/>
    </w:pPr>
  </w:style>
  <w:style w:type="paragraph" w:styleId="6">
    <w:name w:val="Balloon Text"/>
    <w:basedOn w:val="1"/>
    <w:link w:val="23"/>
    <w:semiHidden/>
    <w:unhideWhenUsed/>
    <w:qFormat/>
    <w:uiPriority w:val="99"/>
    <w:rPr>
      <w:rFonts w:ascii="Times New Roman" w:hAnsi="Times New Roman" w:eastAsia="仿宋_GB2312"/>
      <w:spacing w:val="10"/>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pPr>
    <w:rPr>
      <w:rFonts w:ascii="Times New Roman" w:hAnsi="Times New Roman"/>
      <w:sz w:val="18"/>
      <w:szCs w:val="18"/>
    </w:rPr>
  </w:style>
  <w:style w:type="paragraph" w:styleId="9">
    <w:name w:val="Normal (Web)"/>
    <w:basedOn w:val="1"/>
    <w:unhideWhenUsed/>
    <w:qFormat/>
    <w:uiPriority w:val="99"/>
    <w:pPr>
      <w:spacing w:before="100" w:beforeAutospacing="1" w:after="100" w:afterAutospacing="1"/>
      <w:jc w:val="left"/>
    </w:pPr>
    <w:rPr>
      <w:rFonts w:cs="宋体"/>
      <w:sz w:val="24"/>
      <w:szCs w:val="24"/>
    </w:rPr>
  </w:style>
  <w:style w:type="paragraph" w:styleId="10">
    <w:name w:val="annotation subject"/>
    <w:basedOn w:val="4"/>
    <w:link w:val="25"/>
    <w:semiHidden/>
    <w:unhideWhenUsed/>
    <w:qFormat/>
    <w:uiPriority w:val="99"/>
    <w:rPr>
      <w:b w:val="0"/>
      <w:bCs w:val="0"/>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sz w:val="20"/>
      <w:szCs w:val="20"/>
      <w:u w:val="single"/>
    </w:rPr>
  </w:style>
  <w:style w:type="character" w:styleId="16">
    <w:name w:val="Hyperlink"/>
    <w:basedOn w:val="13"/>
    <w:semiHidden/>
    <w:unhideWhenUsed/>
    <w:qFormat/>
    <w:uiPriority w:val="99"/>
    <w:rPr>
      <w:color w:val="0000FF"/>
      <w:sz w:val="20"/>
      <w:szCs w:val="20"/>
      <w:u w:val="single"/>
    </w:rPr>
  </w:style>
  <w:style w:type="character" w:styleId="17">
    <w:name w:val="annotation reference"/>
    <w:basedOn w:val="13"/>
    <w:semiHidden/>
    <w:unhideWhenUsed/>
    <w:qFormat/>
    <w:uiPriority w:val="99"/>
    <w:rPr>
      <w:sz w:val="21"/>
      <w:szCs w:val="21"/>
    </w:rPr>
  </w:style>
  <w:style w:type="paragraph" w:customStyle="1" w:styleId="18">
    <w:name w:val="tableheader"/>
    <w:basedOn w:val="1"/>
    <w:qFormat/>
    <w:uiPriority w:val="0"/>
    <w:pPr>
      <w:shd w:val="clear" w:color="auto" w:fill="ABCDEF"/>
      <w:spacing w:before="100" w:beforeAutospacing="1" w:after="100" w:afterAutospacing="1"/>
      <w:jc w:val="left"/>
    </w:pPr>
    <w:rPr>
      <w:rFonts w:cs="宋体"/>
      <w:sz w:val="24"/>
      <w:szCs w:val="24"/>
    </w:rPr>
  </w:style>
  <w:style w:type="character" w:customStyle="1" w:styleId="19">
    <w:name w:val="页眉 Char"/>
    <w:basedOn w:val="13"/>
    <w:link w:val="8"/>
    <w:qFormat/>
    <w:uiPriority w:val="0"/>
    <w:rPr>
      <w:rFonts w:ascii="Times New Roman" w:hAnsi="Times New Roman" w:eastAsia="宋体" w:cs="Times New Roman"/>
      <w:sz w:val="18"/>
      <w:szCs w:val="18"/>
    </w:rPr>
  </w:style>
  <w:style w:type="character" w:customStyle="1" w:styleId="20">
    <w:name w:val="页脚 Char"/>
    <w:basedOn w:val="13"/>
    <w:link w:val="7"/>
    <w:qFormat/>
    <w:uiPriority w:val="99"/>
    <w:rPr>
      <w:sz w:val="18"/>
      <w:szCs w:val="18"/>
    </w:rPr>
  </w:style>
  <w:style w:type="paragraph" w:customStyle="1" w:styleId="21">
    <w:name w:val="首行缩进"/>
    <w:basedOn w:val="1"/>
    <w:qFormat/>
    <w:uiPriority w:val="0"/>
    <w:pPr>
      <w:ind w:firstLine="480" w:firstLineChars="200"/>
    </w:pPr>
    <w:rPr>
      <w:rFonts w:ascii="Calibri" w:hAnsi="Calibri" w:eastAsia="仿宋"/>
      <w:sz w:val="28"/>
      <w:lang w:val="zh-CN"/>
    </w:rPr>
  </w:style>
  <w:style w:type="paragraph" w:styleId="22">
    <w:name w:val="List Paragraph"/>
    <w:basedOn w:val="1"/>
    <w:qFormat/>
    <w:uiPriority w:val="34"/>
    <w:pPr>
      <w:ind w:firstLine="420" w:firstLineChars="200"/>
    </w:pPr>
  </w:style>
  <w:style w:type="character" w:customStyle="1" w:styleId="23">
    <w:name w:val="批注框文本 Char"/>
    <w:basedOn w:val="13"/>
    <w:link w:val="6"/>
    <w:semiHidden/>
    <w:qFormat/>
    <w:uiPriority w:val="99"/>
    <w:rPr>
      <w:rFonts w:ascii="Times New Roman" w:hAnsi="Times New Roman" w:eastAsia="仿宋_GB2312" w:cs="Times New Roman"/>
      <w:spacing w:val="10"/>
      <w:sz w:val="18"/>
      <w:szCs w:val="18"/>
    </w:rPr>
  </w:style>
  <w:style w:type="character" w:customStyle="1" w:styleId="24">
    <w:name w:val="批注文字 Char"/>
    <w:basedOn w:val="13"/>
    <w:link w:val="4"/>
    <w:semiHidden/>
    <w:qFormat/>
    <w:uiPriority w:val="99"/>
  </w:style>
  <w:style w:type="character" w:customStyle="1" w:styleId="25">
    <w:name w:val="批注主题 Char"/>
    <w:basedOn w:val="24"/>
    <w:link w:val="10"/>
    <w:semiHidden/>
    <w:qFormat/>
    <w:uiPriority w:val="99"/>
    <w:rPr>
      <w:b/>
      <w:bCs/>
    </w:rPr>
  </w:style>
  <w:style w:type="character" w:customStyle="1" w:styleId="26">
    <w:name w:val="标题 1 Char"/>
    <w:basedOn w:val="13"/>
    <w:link w:val="2"/>
    <w:qFormat/>
    <w:uiPriority w:val="9"/>
    <w:rPr>
      <w:b/>
      <w:bCs/>
      <w:kern w:val="44"/>
      <w:sz w:val="44"/>
      <w:szCs w:val="44"/>
    </w:rPr>
  </w:style>
  <w:style w:type="paragraph" w:customStyle="1" w:styleId="27">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character" w:customStyle="1" w:styleId="28">
    <w:name w:val="font51"/>
    <w:basedOn w:val="13"/>
    <w:qFormat/>
    <w:uiPriority w:val="0"/>
    <w:rPr>
      <w:rFonts w:ascii="仿宋_GB2312" w:eastAsia="仿宋_GB2312" w:cs="仿宋_GB2312"/>
      <w:color w:val="000000"/>
      <w:sz w:val="28"/>
      <w:szCs w:val="28"/>
      <w:u w:val="none"/>
    </w:rPr>
  </w:style>
  <w:style w:type="character" w:customStyle="1" w:styleId="29">
    <w:name w:val="font21"/>
    <w:basedOn w:val="13"/>
    <w:qFormat/>
    <w:uiPriority w:val="0"/>
    <w:rPr>
      <w:rFonts w:hint="eastAsia" w:ascii="宋体" w:hAnsi="宋体" w:eastAsia="宋体" w:cs="宋体"/>
      <w:color w:val="000000"/>
      <w:sz w:val="28"/>
      <w:szCs w:val="28"/>
      <w:u w:val="none"/>
    </w:rPr>
  </w:style>
  <w:style w:type="character" w:customStyle="1" w:styleId="30">
    <w:name w:val="font31"/>
    <w:basedOn w:val="13"/>
    <w:qFormat/>
    <w:uiPriority w:val="0"/>
    <w:rPr>
      <w:rFonts w:hint="default" w:ascii="Times New Roman" w:hAnsi="Times New Roman" w:cs="Times New Roman"/>
      <w:color w:val="000000"/>
      <w:sz w:val="28"/>
      <w:szCs w:val="28"/>
      <w:u w:val="none"/>
    </w:rPr>
  </w:style>
  <w:style w:type="character" w:customStyle="1" w:styleId="31">
    <w:name w:val="font41"/>
    <w:basedOn w:val="13"/>
    <w:qFormat/>
    <w:uiPriority w:val="0"/>
    <w:rPr>
      <w:rFonts w:hint="eastAsia" w:ascii="仿宋_GB2312" w:eastAsia="仿宋_GB2312" w:cs="仿宋_GB2312"/>
      <w:color w:val="000000"/>
      <w:sz w:val="28"/>
      <w:szCs w:val="28"/>
      <w:u w:val="none"/>
    </w:rPr>
  </w:style>
  <w:style w:type="character" w:customStyle="1" w:styleId="32">
    <w:name w:val="font11"/>
    <w:basedOn w:val="1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4</Pages>
  <Words>3724</Words>
  <Characters>3787</Characters>
  <Lines>153</Lines>
  <Paragraphs>100</Paragraphs>
  <TotalTime>11</TotalTime>
  <ScaleCrop>false</ScaleCrop>
  <LinksUpToDate>false</LinksUpToDate>
  <CharactersWithSpaces>4011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2026-06-25T01:12:00Z</dcterms:created>
  <dc:creator>张婷婷</dc:creator>
  <cp:lastModifiedBy>SMN</cp:lastModifiedBy>
  <dcterms:modified xsi:type="dcterms:W3CDTF">2026-06-25T01:18:41Z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D6EF23B38EE0429B94EE214076861BE3_13</vt:lpwstr>
  </property>
  <property fmtid="{D5CDD505-2E9C-101B-9397-08002B2CF9AE}" pid="4" name="KSOTemplateDocerSaveRecord">
    <vt:lpwstr>eyJoZGlkIjoiODY3MWFlOTgxNTEwMzJjNTc2YzY1MzgzZjFlNDljNzUiLCJ1c2VySWQiOiI2NjA0NzQ0NzYifQ==</vt:lpwstr>
  </property>
</Properties>
</file>