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22B82">
      <w:pPr>
        <w:jc w:val="center"/>
        <w:rPr>
          <w:rFonts w:ascii="仿宋_GB2312" w:eastAsia="仿宋_GB2312"/>
          <w:b/>
          <w:sz w:val="32"/>
          <w:szCs w:val="32"/>
        </w:rPr>
      </w:pPr>
      <w:bookmarkStart w:id="0" w:name="_GoBack"/>
      <w:r>
        <w:rPr>
          <w:rFonts w:hint="eastAsia" w:ascii="仿宋_GB2312" w:eastAsia="仿宋_GB2312"/>
          <w:b/>
          <w:sz w:val="32"/>
          <w:szCs w:val="32"/>
        </w:rPr>
        <w:t>南方医科大学深圳口腔医院（坪山）</w:t>
      </w:r>
    </w:p>
    <w:p w14:paraId="39D30908">
      <w:pPr>
        <w:jc w:val="center"/>
        <w:rPr>
          <w:rFonts w:hint="eastAsia" w:ascii="仿宋_GB2312" w:eastAsia="仿宋_GB2312"/>
          <w:b/>
          <w:sz w:val="32"/>
          <w:szCs w:val="32"/>
          <w:lang w:val="en-US" w:eastAsia="zh-CN"/>
        </w:rPr>
      </w:pPr>
      <w:r>
        <w:rPr>
          <w:rFonts w:hint="eastAsia" w:ascii="仿宋_GB2312" w:eastAsia="仿宋_GB2312"/>
          <w:b/>
          <w:sz w:val="32"/>
          <w:szCs w:val="32"/>
        </w:rPr>
        <w:t>2026年</w:t>
      </w:r>
      <w:r>
        <w:rPr>
          <w:rFonts w:hint="eastAsia" w:ascii="仿宋_GB2312" w:eastAsia="仿宋_GB2312"/>
          <w:b/>
          <w:sz w:val="32"/>
          <w:szCs w:val="32"/>
          <w:lang w:val="en-US" w:eastAsia="zh-CN"/>
        </w:rPr>
        <w:t>大型高温高压灭菌器和全自动清洗机维保项目</w:t>
      </w:r>
    </w:p>
    <w:bookmarkEnd w:id="0"/>
    <w:p w14:paraId="1B0D54A2">
      <w:pPr>
        <w:jc w:val="center"/>
        <w:rPr>
          <w:rFonts w:ascii="仿宋_GB2312" w:eastAsia="仿宋_GB2312"/>
          <w:b/>
          <w:sz w:val="28"/>
          <w:szCs w:val="28"/>
        </w:rPr>
      </w:pPr>
      <w:r>
        <w:rPr>
          <w:rFonts w:hint="eastAsia" w:ascii="仿宋_GB2312" w:eastAsia="仿宋_GB2312"/>
          <w:b/>
          <w:sz w:val="28"/>
          <w:szCs w:val="28"/>
        </w:rPr>
        <w:t>（项目编号：NFYKDSZKQ-MJQHQXJWB-FW-202607013）</w:t>
      </w:r>
    </w:p>
    <w:tbl>
      <w:tblPr>
        <w:tblStyle w:val="6"/>
        <w:tblW w:w="0" w:type="auto"/>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6339"/>
        <w:gridCol w:w="1534"/>
        <w:gridCol w:w="2199"/>
      </w:tblGrid>
      <w:tr w14:paraId="306ED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4F4EB2ED">
            <w:pPr>
              <w:spacing w:before="100" w:beforeAutospacing="1" w:after="100" w:afterAutospacing="1"/>
              <w:rPr>
                <w:sz w:val="20"/>
                <w:szCs w:val="20"/>
              </w:rPr>
            </w:pPr>
            <w:r>
              <w:rPr>
                <w:b/>
                <w:bCs/>
                <w:sz w:val="20"/>
                <w:szCs w:val="20"/>
              </w:rPr>
              <w:t>项目名称</w:t>
            </w:r>
          </w:p>
        </w:tc>
        <w:tc>
          <w:tcPr>
            <w:tcW w:w="6339" w:type="dxa"/>
            <w:vAlign w:val="center"/>
          </w:tcPr>
          <w:p w14:paraId="7A517F8B">
            <w:pPr>
              <w:rPr>
                <w:sz w:val="20"/>
                <w:szCs w:val="20"/>
              </w:rPr>
            </w:pPr>
            <w:r>
              <w:rPr>
                <w:rFonts w:hint="eastAsia"/>
              </w:rPr>
              <w:t>南方医科大学深圳口腔医院（坪山）</w:t>
            </w:r>
            <w:r>
              <w:rPr>
                <w:rFonts w:hint="eastAsia"/>
                <w:lang w:val="en-US" w:eastAsia="zh-CN"/>
              </w:rPr>
              <w:t>2026年大型高温高压灭菌器和全自动清洗机维保</w:t>
            </w:r>
            <w:r>
              <w:rPr>
                <w:rFonts w:hint="eastAsia"/>
              </w:rPr>
              <w:t>项目</w:t>
            </w:r>
          </w:p>
        </w:tc>
        <w:tc>
          <w:tcPr>
            <w:tcW w:w="1534" w:type="dxa"/>
            <w:vAlign w:val="center"/>
          </w:tcPr>
          <w:p w14:paraId="6C904012">
            <w:pPr>
              <w:spacing w:before="100" w:beforeAutospacing="1" w:after="100" w:afterAutospacing="1"/>
              <w:rPr>
                <w:sz w:val="20"/>
                <w:szCs w:val="20"/>
              </w:rPr>
            </w:pPr>
            <w:r>
              <w:rPr>
                <w:b/>
                <w:bCs/>
                <w:sz w:val="20"/>
                <w:szCs w:val="20"/>
              </w:rPr>
              <w:t>是否预选项目</w:t>
            </w:r>
          </w:p>
        </w:tc>
        <w:tc>
          <w:tcPr>
            <w:tcW w:w="2199" w:type="dxa"/>
            <w:vAlign w:val="center"/>
          </w:tcPr>
          <w:p w14:paraId="60E5BA8F">
            <w:r>
              <w:rPr>
                <w:rFonts w:hint="eastAsia"/>
              </w:rPr>
              <w:t>否</w:t>
            </w:r>
          </w:p>
        </w:tc>
      </w:tr>
      <w:tr w14:paraId="1B6F5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528DB6F6">
            <w:pPr>
              <w:spacing w:before="100" w:beforeAutospacing="1" w:after="100" w:afterAutospacing="1"/>
              <w:rPr>
                <w:sz w:val="20"/>
                <w:szCs w:val="20"/>
              </w:rPr>
            </w:pPr>
            <w:r>
              <w:rPr>
                <w:b/>
                <w:bCs/>
                <w:sz w:val="20"/>
                <w:szCs w:val="20"/>
              </w:rPr>
              <w:t>预算限额（元）</w:t>
            </w:r>
          </w:p>
        </w:tc>
        <w:tc>
          <w:tcPr>
            <w:tcW w:w="6339" w:type="dxa"/>
            <w:tcBorders>
              <w:right w:val="single" w:color="auto" w:sz="4" w:space="0"/>
            </w:tcBorders>
            <w:vAlign w:val="center"/>
          </w:tcPr>
          <w:p w14:paraId="1601AE61">
            <w:pPr>
              <w:ind w:firstLine="2800" w:firstLineChars="1400"/>
              <w:rPr>
                <w:rFonts w:hint="default" w:eastAsia="宋体"/>
                <w:sz w:val="20"/>
                <w:szCs w:val="20"/>
                <w:lang w:val="en-US" w:eastAsia="zh-CN"/>
              </w:rPr>
            </w:pPr>
            <w:r>
              <w:rPr>
                <w:rFonts w:hint="eastAsia"/>
                <w:sz w:val="20"/>
                <w:szCs w:val="20"/>
                <w:lang w:val="en-US" w:eastAsia="zh-CN"/>
              </w:rPr>
              <w:t>20000</w:t>
            </w:r>
          </w:p>
        </w:tc>
        <w:tc>
          <w:tcPr>
            <w:tcW w:w="1534" w:type="dxa"/>
            <w:tcBorders>
              <w:left w:val="single" w:color="auto" w:sz="4" w:space="0"/>
              <w:right w:val="single" w:color="auto" w:sz="4" w:space="0"/>
            </w:tcBorders>
            <w:vAlign w:val="center"/>
          </w:tcPr>
          <w:p w14:paraId="277DDDF6">
            <w:pPr>
              <w:spacing w:before="100" w:beforeAutospacing="1" w:after="100" w:afterAutospacing="1"/>
              <w:rPr>
                <w:b/>
                <w:bCs/>
                <w:sz w:val="20"/>
                <w:szCs w:val="20"/>
              </w:rPr>
            </w:pPr>
            <w:r>
              <w:rPr>
                <w:rFonts w:hint="eastAsia"/>
                <w:b/>
                <w:bCs/>
                <w:sz w:val="20"/>
                <w:szCs w:val="20"/>
              </w:rPr>
              <w:t>采购</w:t>
            </w:r>
            <w:r>
              <w:rPr>
                <w:b/>
                <w:bCs/>
                <w:sz w:val="20"/>
                <w:szCs w:val="20"/>
              </w:rPr>
              <w:t>方式</w:t>
            </w:r>
          </w:p>
        </w:tc>
        <w:tc>
          <w:tcPr>
            <w:tcW w:w="2199" w:type="dxa"/>
            <w:tcBorders>
              <w:left w:val="single" w:color="auto" w:sz="4" w:space="0"/>
            </w:tcBorders>
            <w:vAlign w:val="center"/>
          </w:tcPr>
          <w:p w14:paraId="5D5F92D2">
            <w:r>
              <w:rPr>
                <w:rFonts w:hint="eastAsia"/>
              </w:rPr>
              <w:t>公开</w:t>
            </w:r>
          </w:p>
        </w:tc>
      </w:tr>
      <w:tr w14:paraId="3B607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3259584B">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项目背景 </w:t>
            </w:r>
          </w:p>
        </w:tc>
        <w:tc>
          <w:tcPr>
            <w:tcW w:w="10072" w:type="dxa"/>
            <w:gridSpan w:val="3"/>
            <w:vAlign w:val="center"/>
          </w:tcPr>
          <w:p w14:paraId="31E72131">
            <w:pPr>
              <w:ind w:firstLine="480" w:firstLineChars="20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毒供应室2台压力蒸汽灭菌器和2台全自动清洗机承担全院复用医疗器械的清洗、消毒和灭菌工作。为了保障设备的使用安全和性能稳定，及时发现和消除安全隐患，故每年需对4台主要设备进行一次全面的检查和保养，以保证供应室工作顺利开展。</w:t>
            </w:r>
          </w:p>
        </w:tc>
      </w:tr>
      <w:tr w14:paraId="3360A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0480D548">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投标人资质要求  </w:t>
            </w:r>
          </w:p>
        </w:tc>
        <w:tc>
          <w:tcPr>
            <w:tcW w:w="10072" w:type="dxa"/>
            <w:gridSpan w:val="3"/>
            <w:vAlign w:val="center"/>
          </w:tcPr>
          <w:p w14:paraId="005E8C05">
            <w:pPr>
              <w:ind w:firstLine="496" w:firstLineChars="207"/>
              <w:rPr>
                <w:color w:val="000000" w:themeColor="text1"/>
                <w14:textFill>
                  <w14:solidFill>
                    <w14:schemeClr w14:val="tx1"/>
                  </w14:solidFill>
                </w14:textFill>
              </w:rPr>
            </w:pPr>
            <w:r>
              <w:rPr>
                <w:rFonts w:hint="eastAsia"/>
                <w:color w:val="000000" w:themeColor="text1"/>
                <w14:textFill>
                  <w14:solidFill>
                    <w14:schemeClr w14:val="tx1"/>
                  </w14:solidFill>
                </w14:textFill>
              </w:rPr>
              <w:t>1）参与投标的企业必须具有独立法人资格（提供营业执照原件扫描件并加盖参与投标的企业公章）。</w:t>
            </w:r>
          </w:p>
          <w:p w14:paraId="61F1D8F1">
            <w:pPr>
              <w:ind w:firstLine="496" w:firstLineChars="207"/>
              <w:rPr>
                <w:color w:val="000000" w:themeColor="text1"/>
                <w14:textFill>
                  <w14:solidFill>
                    <w14:schemeClr w14:val="tx1"/>
                  </w14:solidFill>
                </w14:textFill>
              </w:rPr>
            </w:pPr>
            <w:r>
              <w:rPr>
                <w:rFonts w:hint="eastAsia"/>
                <w:color w:val="000000" w:themeColor="text1"/>
                <w14:textFill>
                  <w14:solidFill>
                    <w14:schemeClr w14:val="tx1"/>
                  </w14:solidFill>
                </w14:textFill>
              </w:rPr>
              <w:t>2）本项目不接受联合体参与投标，不允许分包转包，标注“拒绝进口”的仅接受使用国产产品参与投标，标注“允许进口”的则接受使用进口或国产产品参与投标(由参与投标的企业在《政府采购投标及履约承诺函》中做出声明）。</w:t>
            </w:r>
          </w:p>
          <w:p w14:paraId="7E611D1A">
            <w:pPr>
              <w:ind w:firstLine="496" w:firstLineChars="207"/>
              <w:rPr>
                <w:color w:val="000000" w:themeColor="text1"/>
                <w14:textFill>
                  <w14:solidFill>
                    <w14:schemeClr w14:val="tx1"/>
                  </w14:solidFill>
                </w14:textFill>
              </w:rPr>
            </w:pPr>
            <w:r>
              <w:rPr>
                <w:rFonts w:hint="eastAsia"/>
                <w:color w:val="000000" w:themeColor="text1"/>
                <w14:textFill>
                  <w14:solidFill>
                    <w14:schemeClr w14:val="tx1"/>
                  </w14:solidFill>
                </w14:textFill>
              </w:rPr>
              <w:t>3）参与投标的企业近三年内无行贿犯罪记录（由参与投标的企业在《政府采购投标及履约承诺函》中做出声明）。</w:t>
            </w:r>
          </w:p>
          <w:p w14:paraId="145B018F">
            <w:pPr>
              <w:ind w:firstLine="496" w:firstLineChars="207"/>
              <w:rPr>
                <w:color w:val="000000" w:themeColor="text1"/>
                <w14:textFill>
                  <w14:solidFill>
                    <w14:schemeClr w14:val="tx1"/>
                  </w14:solidFill>
                </w14:textFill>
              </w:rPr>
            </w:pPr>
            <w:r>
              <w:rPr>
                <w:rFonts w:hint="eastAsia"/>
                <w:color w:val="000000" w:themeColor="text1"/>
                <w14:textFill>
                  <w14:solidFill>
                    <w14:schemeClr w14:val="tx1"/>
                  </w14:solidFill>
                </w14:textFill>
              </w:rPr>
              <w:t>4）参与本项目投标的企业未被列入“信用中国”网站(www.creditchina.gov.cn)以下情形之一：①记录失信被执行人，②重大税收违法案件当事人名单（由参与投标的企业提供“信用中国”网站①记录失信被执行人名单查询截图、②重大税收违法案件当事人名单查询截图）。</w:t>
            </w:r>
          </w:p>
          <w:p w14:paraId="40CE0587">
            <w:pPr>
              <w:ind w:firstLine="496" w:firstLineChars="207"/>
              <w:rPr>
                <w:color w:val="000000" w:themeColor="text1"/>
                <w14:textFill>
                  <w14:solidFill>
                    <w14:schemeClr w14:val="tx1"/>
                  </w14:solidFill>
                </w14:textFill>
              </w:rPr>
            </w:pPr>
            <w:r>
              <w:rPr>
                <w:rFonts w:hint="eastAsia"/>
                <w:color w:val="000000" w:themeColor="text1"/>
                <w14:textFill>
                  <w14:solidFill>
                    <w14:schemeClr w14:val="tx1"/>
                  </w14:solidFill>
                </w14:textFill>
              </w:rPr>
              <w:t>5）参与本项目投标的企业不存在被有关部门禁止参与政府采购活动且在有效期内的情况（由参与投标的企业在《政府采购投标及履约承诺函》中做出声明）。</w:t>
            </w:r>
          </w:p>
          <w:p w14:paraId="04193402">
            <w:pPr>
              <w:pStyle w:val="2"/>
              <w:ind w:firstLine="434" w:firstLineChars="207"/>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参与投标的企业法定代表人</w:t>
            </w:r>
            <w:r>
              <w:rPr>
                <w:rFonts w:ascii="宋体" w:hAnsi="宋体"/>
                <w:color w:val="000000" w:themeColor="text1"/>
                <w:sz w:val="24"/>
                <w:szCs w:val="24"/>
                <w14:textFill>
                  <w14:solidFill>
                    <w14:schemeClr w14:val="tx1"/>
                  </w14:solidFill>
                </w14:textFill>
              </w:rPr>
              <w:t>为同一人或者存在直接控股、管理关系的不同供应商，不得同时参加本</w:t>
            </w:r>
            <w:r>
              <w:rPr>
                <w:rFonts w:hint="eastAsia" w:ascii="宋体" w:hAnsi="宋体"/>
                <w:color w:val="000000" w:themeColor="text1"/>
                <w:sz w:val="24"/>
                <w:szCs w:val="24"/>
                <w14:textFill>
                  <w14:solidFill>
                    <w14:schemeClr w14:val="tx1"/>
                  </w14:solidFill>
                </w14:textFill>
              </w:rPr>
              <w:t>项目</w:t>
            </w:r>
            <w:r>
              <w:rPr>
                <w:rFonts w:ascii="宋体" w:hAnsi="宋体"/>
                <w:color w:val="000000" w:themeColor="text1"/>
                <w:sz w:val="24"/>
                <w:szCs w:val="24"/>
                <w14:textFill>
                  <w14:solidFill>
                    <w14:schemeClr w14:val="tx1"/>
                  </w14:solidFill>
                </w14:textFill>
              </w:rPr>
              <w:t>投标活动</w:t>
            </w:r>
          </w:p>
        </w:tc>
      </w:tr>
      <w:tr w14:paraId="2234F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6" w:hRule="atLeast"/>
          <w:tblCellSpacing w:w="0" w:type="dxa"/>
          <w:jc w:val="center"/>
        </w:trPr>
        <w:tc>
          <w:tcPr>
            <w:tcW w:w="663" w:type="dxa"/>
            <w:vAlign w:val="center"/>
          </w:tcPr>
          <w:p w14:paraId="02870F92">
            <w:pPr>
              <w:rPr>
                <w:color w:val="000000" w:themeColor="text1"/>
                <w:sz w:val="20"/>
                <w:szCs w:val="20"/>
                <w14:textFill>
                  <w14:solidFill>
                    <w14:schemeClr w14:val="tx1"/>
                  </w14:solidFill>
                </w14:textFill>
              </w:rPr>
            </w:pPr>
            <w:r>
              <w:rPr>
                <w:rFonts w:hint="eastAsia"/>
                <w:lang w:val="en-US" w:eastAsia="zh-CN"/>
              </w:rPr>
              <w:t>维保设备清单要求</w:t>
            </w:r>
          </w:p>
        </w:tc>
        <w:tc>
          <w:tcPr>
            <w:tcW w:w="10072" w:type="dxa"/>
            <w:gridSpan w:val="3"/>
            <w:vAlign w:val="center"/>
          </w:tcPr>
          <w:tbl>
            <w:tblPr>
              <w:tblStyle w:val="6"/>
              <w:tblpPr w:leftFromText="180" w:rightFromText="180" w:vertAnchor="text" w:horzAnchor="page" w:tblpX="223" w:tblpY="-21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301"/>
              <w:gridCol w:w="1368"/>
              <w:gridCol w:w="932"/>
              <w:gridCol w:w="722"/>
              <w:gridCol w:w="1284"/>
              <w:gridCol w:w="1724"/>
            </w:tblGrid>
            <w:tr w14:paraId="765C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6" w:type="dxa"/>
                  <w:vAlign w:val="center"/>
                </w:tcPr>
                <w:p w14:paraId="50D9EAFA">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序号</w:t>
                  </w:r>
                </w:p>
              </w:tc>
              <w:tc>
                <w:tcPr>
                  <w:tcW w:w="2301" w:type="dxa"/>
                  <w:vAlign w:val="center"/>
                </w:tcPr>
                <w:p w14:paraId="43B8A5EA">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采购</w:t>
                  </w:r>
                  <w:r>
                    <w:rPr>
                      <w:rFonts w:hint="eastAsia" w:cs="宋体" w:asciiTheme="minorEastAsia" w:hAnsiTheme="minorEastAsia"/>
                      <w:kern w:val="0"/>
                      <w:szCs w:val="21"/>
                      <w:lang w:val="en-US" w:eastAsia="zh-CN"/>
                    </w:rPr>
                    <w:t>项目</w:t>
                  </w:r>
                  <w:r>
                    <w:rPr>
                      <w:rFonts w:hint="eastAsia" w:cs="宋体" w:asciiTheme="minorEastAsia" w:hAnsiTheme="minorEastAsia"/>
                      <w:kern w:val="0"/>
                      <w:szCs w:val="21"/>
                    </w:rPr>
                    <w:t>名称</w:t>
                  </w:r>
                </w:p>
              </w:tc>
              <w:tc>
                <w:tcPr>
                  <w:tcW w:w="1368" w:type="dxa"/>
                  <w:vAlign w:val="center"/>
                </w:tcPr>
                <w:p w14:paraId="67DC5FF4">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品牌、型号</w:t>
                  </w:r>
                </w:p>
              </w:tc>
              <w:tc>
                <w:tcPr>
                  <w:tcW w:w="932" w:type="dxa"/>
                  <w:vAlign w:val="center"/>
                </w:tcPr>
                <w:p w14:paraId="7F5E1DC1">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数量</w:t>
                  </w:r>
                </w:p>
              </w:tc>
              <w:tc>
                <w:tcPr>
                  <w:tcW w:w="722" w:type="dxa"/>
                  <w:vAlign w:val="center"/>
                </w:tcPr>
                <w:p w14:paraId="4086E927">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单位</w:t>
                  </w:r>
                </w:p>
              </w:tc>
              <w:tc>
                <w:tcPr>
                  <w:tcW w:w="1284" w:type="dxa"/>
                  <w:vAlign w:val="center"/>
                </w:tcPr>
                <w:p w14:paraId="1F69C99C">
                  <w:pPr>
                    <w:widowControl/>
                    <w:spacing w:line="340" w:lineRule="exact"/>
                    <w:jc w:val="center"/>
                    <w:rPr>
                      <w:rFonts w:hint="default" w:cs="宋体" w:asciiTheme="minorEastAsia" w:hAnsiTheme="minorEastAsia"/>
                      <w:kern w:val="0"/>
                      <w:szCs w:val="21"/>
                      <w:lang w:val="en-US"/>
                    </w:rPr>
                  </w:pPr>
                  <w:r>
                    <w:rPr>
                      <w:rFonts w:hint="eastAsia" w:cs="宋体" w:asciiTheme="minorEastAsia" w:hAnsiTheme="minorEastAsia"/>
                      <w:kern w:val="0"/>
                      <w:szCs w:val="21"/>
                      <w:lang w:val="en-US" w:eastAsia="zh-CN"/>
                    </w:rPr>
                    <w:t>维保情况</w:t>
                  </w:r>
                </w:p>
              </w:tc>
              <w:tc>
                <w:tcPr>
                  <w:tcW w:w="1724" w:type="dxa"/>
                  <w:vAlign w:val="center"/>
                </w:tcPr>
                <w:p w14:paraId="24D3A1AF">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合计维保金额限额（元）</w:t>
                  </w:r>
                </w:p>
              </w:tc>
            </w:tr>
            <w:tr w14:paraId="74C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66" w:type="dxa"/>
                  <w:vAlign w:val="center"/>
                </w:tcPr>
                <w:p w14:paraId="59DCF63A">
                  <w:pPr>
                    <w:widowControl/>
                    <w:spacing w:line="340" w:lineRule="exact"/>
                    <w:jc w:val="center"/>
                    <w:rPr>
                      <w:rFonts w:hint="default" w:cs="宋体" w:asciiTheme="minorEastAsia" w:hAnsiTheme="minorEastAsia"/>
                      <w:kern w:val="0"/>
                      <w:szCs w:val="21"/>
                    </w:rPr>
                  </w:pPr>
                  <w:r>
                    <w:rPr>
                      <w:rFonts w:hint="eastAsia" w:cs="宋体" w:asciiTheme="minorEastAsia" w:hAnsiTheme="minorEastAsia"/>
                      <w:kern w:val="0"/>
                      <w:szCs w:val="21"/>
                    </w:rPr>
                    <w:t>1</w:t>
                  </w:r>
                </w:p>
              </w:tc>
              <w:tc>
                <w:tcPr>
                  <w:tcW w:w="2301" w:type="dxa"/>
                  <w:vAlign w:val="center"/>
                </w:tcPr>
                <w:p w14:paraId="1C9B3C97">
                  <w:pPr>
                    <w:widowControl/>
                    <w:spacing w:line="340" w:lineRule="exact"/>
                    <w:jc w:val="center"/>
                    <w:rPr>
                      <w:rFonts w:hint="default" w:cs="宋体" w:asciiTheme="minorEastAsia" w:hAnsiTheme="minorEastAsia"/>
                      <w:kern w:val="0"/>
                      <w:szCs w:val="21"/>
                      <w:lang w:val="en-US"/>
                    </w:rPr>
                  </w:pPr>
                  <w:r>
                    <w:rPr>
                      <w:rFonts w:hint="eastAsia" w:cs="宋体" w:asciiTheme="minorEastAsia" w:hAnsiTheme="minorEastAsia"/>
                      <w:kern w:val="0"/>
                      <w:szCs w:val="21"/>
                      <w:lang w:val="en-US" w:eastAsia="zh-CN"/>
                    </w:rPr>
                    <w:t>大型高温高压灭菌器维保</w:t>
                  </w:r>
                </w:p>
              </w:tc>
              <w:tc>
                <w:tcPr>
                  <w:tcW w:w="1368" w:type="dxa"/>
                  <w:vAlign w:val="center"/>
                </w:tcPr>
                <w:p w14:paraId="4E4F5629">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洁定、HS 66-13-1(2)</w:t>
                  </w:r>
                </w:p>
              </w:tc>
              <w:tc>
                <w:tcPr>
                  <w:tcW w:w="932" w:type="dxa"/>
                  <w:vAlign w:val="center"/>
                </w:tcPr>
                <w:p w14:paraId="04E3965C">
                  <w:pPr>
                    <w:widowControl/>
                    <w:spacing w:line="340" w:lineRule="exact"/>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2</w:t>
                  </w:r>
                </w:p>
              </w:tc>
              <w:tc>
                <w:tcPr>
                  <w:tcW w:w="722" w:type="dxa"/>
                  <w:vAlign w:val="center"/>
                </w:tcPr>
                <w:p w14:paraId="16A3AA68">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台</w:t>
                  </w:r>
                </w:p>
              </w:tc>
              <w:tc>
                <w:tcPr>
                  <w:tcW w:w="1284" w:type="dxa"/>
                  <w:vAlign w:val="center"/>
                </w:tcPr>
                <w:p w14:paraId="014BC242">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单次维保</w:t>
                  </w:r>
                </w:p>
              </w:tc>
              <w:tc>
                <w:tcPr>
                  <w:tcW w:w="1724" w:type="dxa"/>
                  <w:vAlign w:val="center"/>
                </w:tcPr>
                <w:p w14:paraId="09FABF3E">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11000</w:t>
                  </w:r>
                </w:p>
              </w:tc>
            </w:tr>
            <w:tr w14:paraId="7B1B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66" w:type="dxa"/>
                  <w:vAlign w:val="center"/>
                </w:tcPr>
                <w:p w14:paraId="7C69F7D7">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2301" w:type="dxa"/>
                  <w:vAlign w:val="center"/>
                </w:tcPr>
                <w:p w14:paraId="43C65B2D">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全自动清洗机维保</w:t>
                  </w:r>
                </w:p>
              </w:tc>
              <w:tc>
                <w:tcPr>
                  <w:tcW w:w="1368" w:type="dxa"/>
                  <w:vAlign w:val="center"/>
                </w:tcPr>
                <w:p w14:paraId="561531A8">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洁定、46-5-1（2）</w:t>
                  </w:r>
                </w:p>
              </w:tc>
              <w:tc>
                <w:tcPr>
                  <w:tcW w:w="932" w:type="dxa"/>
                  <w:vAlign w:val="center"/>
                </w:tcPr>
                <w:p w14:paraId="0ED090CC">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722" w:type="dxa"/>
                  <w:vAlign w:val="center"/>
                </w:tcPr>
                <w:p w14:paraId="29411FA5">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台</w:t>
                  </w:r>
                </w:p>
              </w:tc>
              <w:tc>
                <w:tcPr>
                  <w:tcW w:w="1284" w:type="dxa"/>
                  <w:vAlign w:val="center"/>
                </w:tcPr>
                <w:p w14:paraId="64784F8F">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单次维保</w:t>
                  </w:r>
                </w:p>
              </w:tc>
              <w:tc>
                <w:tcPr>
                  <w:tcW w:w="1724" w:type="dxa"/>
                  <w:vAlign w:val="center"/>
                </w:tcPr>
                <w:p w14:paraId="57B9EF19">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9000</w:t>
                  </w:r>
                </w:p>
              </w:tc>
            </w:tr>
            <w:tr w14:paraId="4F0A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73" w:type="dxa"/>
                  <w:gridSpan w:val="6"/>
                  <w:vAlign w:val="center"/>
                </w:tcPr>
                <w:p w14:paraId="20EB6D0E">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合计：</w:t>
                  </w:r>
                </w:p>
              </w:tc>
              <w:tc>
                <w:tcPr>
                  <w:tcW w:w="1724" w:type="dxa"/>
                  <w:vAlign w:val="center"/>
                </w:tcPr>
                <w:p w14:paraId="4C9B60DE">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20000</w:t>
                  </w:r>
                </w:p>
              </w:tc>
            </w:tr>
          </w:tbl>
          <w:p w14:paraId="15430CAA">
            <w:pPr>
              <w:ind w:firstLine="480" w:firstLineChars="200"/>
              <w:rPr>
                <w:color w:val="000000" w:themeColor="text1"/>
                <w14:textFill>
                  <w14:solidFill>
                    <w14:schemeClr w14:val="tx1"/>
                  </w14:solidFill>
                </w14:textFill>
              </w:rPr>
            </w:pPr>
          </w:p>
        </w:tc>
      </w:tr>
      <w:tr w14:paraId="4486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6" w:hRule="atLeast"/>
          <w:tblCellSpacing w:w="0" w:type="dxa"/>
          <w:jc w:val="center"/>
        </w:trPr>
        <w:tc>
          <w:tcPr>
            <w:tcW w:w="663" w:type="dxa"/>
            <w:vAlign w:val="center"/>
          </w:tcPr>
          <w:p w14:paraId="1B7F1753">
            <w:pPr>
              <w:spacing w:before="100" w:beforeAutospacing="1" w:after="100" w:afterAutospacing="1"/>
              <w:rPr>
                <w:color w:val="000000" w:themeColor="text1"/>
                <w:sz w:val="20"/>
                <w:szCs w:val="20"/>
                <w14:textFill>
                  <w14:solidFill>
                    <w14:schemeClr w14:val="tx1"/>
                  </w14:solidFill>
                </w14:textFill>
              </w:rPr>
            </w:pPr>
            <w:r>
              <w:rPr>
                <w:rFonts w:hint="eastAsia"/>
              </w:rPr>
              <w:t>服务</w:t>
            </w:r>
            <w:r>
              <w:rPr>
                <w:rFonts w:hint="eastAsia"/>
                <w:lang w:val="en-US" w:eastAsia="zh-CN"/>
              </w:rPr>
              <w:t>需求</w:t>
            </w:r>
          </w:p>
        </w:tc>
        <w:tc>
          <w:tcPr>
            <w:tcW w:w="10072" w:type="dxa"/>
            <w:gridSpan w:val="3"/>
            <w:vAlign w:val="center"/>
          </w:tcPr>
          <w:p w14:paraId="4707D5D0">
            <w:pPr>
              <w:widowControl/>
              <w:numPr>
                <w:ilvl w:val="0"/>
                <w:numId w:val="0"/>
              </w:numPr>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灭菌器和清洗机单次维保服务要求：</w:t>
            </w:r>
          </w:p>
          <w:p w14:paraId="4119331D">
            <w:pPr>
              <w:pStyle w:val="3"/>
              <w:spacing w:before="66" w:line="269" w:lineRule="auto"/>
              <w:ind w:left="7" w:right="52" w:firstLine="212" w:firstLineChars="101"/>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（1）设备内置软件如需升级，应按照原厂规定的升级文件及规定时间完成升级，并在升级完成后提供原厂升级文件。</w:t>
            </w:r>
          </w:p>
          <w:p w14:paraId="0B3B3130">
            <w:pPr>
              <w:pStyle w:val="3"/>
              <w:spacing w:before="66" w:line="269" w:lineRule="auto"/>
              <w:ind w:left="7" w:right="52" w:firstLine="242" w:firstLineChars="101"/>
              <w:rPr>
                <w:rFonts w:hint="eastAsia" w:asciiTheme="minorHAnsi" w:hAnsiTheme="minorHAnsi" w:eastAsiaTheme="minorEastAsia" w:cstheme="minorBidi"/>
                <w:kern w:val="2"/>
                <w:sz w:val="21"/>
                <w:szCs w:val="24"/>
                <w:lang w:val="en-US" w:eastAsia="zh-CN" w:bidi="ar-SA"/>
              </w:rPr>
            </w:pPr>
            <w:r>
              <w:rPr>
                <w:rFonts w:hint="eastAsia" w:cs="宋体" w:asciiTheme="minorEastAsia" w:hAnsiTheme="minorEastAsia"/>
                <w:kern w:val="0"/>
                <w:szCs w:val="21"/>
                <w:lang w:val="en-US" w:eastAsia="zh-CN"/>
              </w:rPr>
              <w:t>★</w:t>
            </w:r>
            <w:r>
              <w:rPr>
                <w:rFonts w:hint="eastAsia" w:asciiTheme="minorHAnsi" w:hAnsiTheme="minorHAnsi" w:eastAsiaTheme="minorEastAsia" w:cstheme="minorBidi"/>
                <w:kern w:val="2"/>
                <w:sz w:val="21"/>
                <w:szCs w:val="24"/>
                <w:lang w:val="en-US" w:eastAsia="zh-CN" w:bidi="ar-SA"/>
              </w:rPr>
              <w:t>（2）提供一次的</w:t>
            </w:r>
            <w:r>
              <w:rPr>
                <w:rFonts w:hint="eastAsia" w:cstheme="minorBidi"/>
                <w:kern w:val="2"/>
                <w:sz w:val="21"/>
                <w:szCs w:val="24"/>
                <w:lang w:val="en-US" w:eastAsia="zh-CN" w:bidi="ar-SA"/>
              </w:rPr>
              <w:t>深度</w:t>
            </w:r>
            <w:r>
              <w:rPr>
                <w:rFonts w:hint="eastAsia" w:asciiTheme="minorHAnsi" w:hAnsiTheme="minorHAnsi" w:eastAsiaTheme="minorEastAsia" w:cstheme="minorBidi"/>
                <w:kern w:val="2"/>
                <w:sz w:val="21"/>
                <w:szCs w:val="24"/>
                <w:lang w:val="en-US" w:eastAsia="zh-CN" w:bidi="ar-SA"/>
              </w:rPr>
              <w:t>大型保养工作，具体保养内容详见附表</w:t>
            </w:r>
            <w:r>
              <w:rPr>
                <w:rFonts w:hint="eastAsia" w:cstheme="minorBidi"/>
                <w:kern w:val="2"/>
                <w:sz w:val="21"/>
                <w:szCs w:val="24"/>
                <w:lang w:val="en-US" w:eastAsia="zh-CN" w:bidi="ar-SA"/>
              </w:rPr>
              <w:t>1</w:t>
            </w:r>
            <w:r>
              <w:rPr>
                <w:rFonts w:hint="eastAsia" w:asciiTheme="minorHAnsi" w:hAnsiTheme="minorHAnsi" w:eastAsiaTheme="minorEastAsia" w:cstheme="minorBidi"/>
                <w:kern w:val="2"/>
                <w:sz w:val="21"/>
                <w:szCs w:val="24"/>
                <w:lang w:val="en-US" w:eastAsia="zh-CN" w:bidi="ar-SA"/>
              </w:rPr>
              <w:t>：大型保养内容。</w:t>
            </w:r>
          </w:p>
          <w:p w14:paraId="64B85C5A">
            <w:pPr>
              <w:pStyle w:val="3"/>
              <w:spacing w:before="66" w:line="269" w:lineRule="auto"/>
              <w:ind w:left="7" w:right="52" w:firstLine="242" w:firstLineChars="101"/>
              <w:rPr>
                <w:rFonts w:hint="default"/>
                <w:lang w:val="en-US" w:eastAsia="zh-CN"/>
              </w:rPr>
            </w:pPr>
            <w:r>
              <w:rPr>
                <w:rFonts w:hint="eastAsia" w:cs="宋体" w:asciiTheme="minorEastAsia" w:hAnsiTheme="minorEastAsia"/>
                <w:kern w:val="0"/>
                <w:szCs w:val="21"/>
                <w:lang w:val="en-US" w:eastAsia="zh-CN"/>
              </w:rPr>
              <w:t>★</w:t>
            </w:r>
            <w:r>
              <w:rPr>
                <w:rFonts w:hint="eastAsia" w:asciiTheme="minorHAnsi" w:hAnsiTheme="minorHAnsi" w:eastAsiaTheme="minorEastAsia" w:cstheme="minorBidi"/>
                <w:kern w:val="2"/>
                <w:sz w:val="21"/>
                <w:szCs w:val="24"/>
                <w:lang w:val="en-US" w:eastAsia="zh-CN" w:bidi="ar-SA"/>
              </w:rPr>
              <w:t>（3）进行 1 次清洗效果监测</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在机器的每层放置测试物，运行内置程序进行残留蛋白、清洗效果、温度测试。</w:t>
            </w:r>
          </w:p>
          <w:p w14:paraId="6D2D49C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（4）对全自动清洗机和高温蒸汽灭菌器的腔体、灭菌架、外壁进行 1 次深度清洗， 以确保腔体、灭菌架以及外壁的清洁。</w:t>
            </w:r>
          </w:p>
          <w:p w14:paraId="11F563A0">
            <w:pPr>
              <w:pStyle w:val="3"/>
              <w:spacing w:before="66" w:line="269" w:lineRule="auto"/>
              <w:ind w:left="7" w:right="52" w:firstLine="212" w:firstLineChars="101"/>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（5）维护保养后提供公司盖章的服务报告。</w:t>
            </w:r>
          </w:p>
          <w:p w14:paraId="24F38A2C">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附表 </w:t>
            </w:r>
            <w:r>
              <w:rPr>
                <w:rFonts w:hint="eastAsia" w:cstheme="minorBidi"/>
                <w:kern w:val="2"/>
                <w:sz w:val="21"/>
                <w:szCs w:val="24"/>
                <w:lang w:val="en-US" w:eastAsia="zh-CN" w:bidi="ar-SA"/>
              </w:rPr>
              <w:t>1</w:t>
            </w:r>
            <w:r>
              <w:rPr>
                <w:rFonts w:hint="eastAsia" w:asciiTheme="minorHAnsi" w:hAnsiTheme="minorHAnsi" w:eastAsiaTheme="minorEastAsia" w:cstheme="minorBidi"/>
                <w:kern w:val="2"/>
                <w:sz w:val="21"/>
                <w:szCs w:val="24"/>
                <w:lang w:val="en-US" w:eastAsia="zh-CN" w:bidi="ar-SA"/>
              </w:rPr>
              <w:t>：大型保养内容</w:t>
            </w:r>
          </w:p>
          <w:tbl>
            <w:tblPr>
              <w:tblStyle w:val="11"/>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145"/>
              <w:gridCol w:w="6585"/>
            </w:tblGrid>
            <w:tr w14:paraId="35FEF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Align w:val="top"/>
                </w:tcPr>
                <w:p w14:paraId="1288AB9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设备名称</w:t>
                  </w:r>
                </w:p>
              </w:tc>
              <w:tc>
                <w:tcPr>
                  <w:tcW w:w="1145" w:type="dxa"/>
                  <w:vAlign w:val="top"/>
                </w:tcPr>
                <w:p w14:paraId="622EF0E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保养部分</w:t>
                  </w:r>
                </w:p>
              </w:tc>
              <w:tc>
                <w:tcPr>
                  <w:tcW w:w="6585" w:type="dxa"/>
                  <w:vAlign w:val="top"/>
                </w:tcPr>
                <w:p w14:paraId="4E960D5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保养内容</w:t>
                  </w:r>
                </w:p>
              </w:tc>
            </w:tr>
            <w:tr w14:paraId="46F46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restart"/>
                  <w:tcBorders>
                    <w:bottom w:val="nil"/>
                  </w:tcBorders>
                  <w:vAlign w:val="top"/>
                </w:tcPr>
                <w:p w14:paraId="657F28F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B39FBCC">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695A4DB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47DB2E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E47FE4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71B4B3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3E544F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D07B4BC">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37282B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BEE4DD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C7BE63C">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4E2437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124CC74">
                  <w:pPr>
                    <w:pStyle w:val="3"/>
                    <w:spacing w:before="66" w:line="269" w:lineRule="auto"/>
                    <w:ind w:left="7" w:right="52" w:firstLine="212" w:firstLineChars="101"/>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高温蒸汽灭菌器</w:t>
                  </w:r>
                </w:p>
              </w:tc>
              <w:tc>
                <w:tcPr>
                  <w:tcW w:w="1145" w:type="dxa"/>
                  <w:vMerge w:val="restart"/>
                  <w:tcBorders>
                    <w:bottom w:val="nil"/>
                  </w:tcBorders>
                  <w:vAlign w:val="top"/>
                </w:tcPr>
                <w:p w14:paraId="5550295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F8C123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水路部分</w:t>
                  </w:r>
                </w:p>
              </w:tc>
              <w:tc>
                <w:tcPr>
                  <w:tcW w:w="6585" w:type="dxa"/>
                  <w:vAlign w:val="top"/>
                </w:tcPr>
                <w:p w14:paraId="2A0DC12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检查进水电磁阀的开关情况</w:t>
                  </w:r>
                </w:p>
              </w:tc>
            </w:tr>
            <w:tr w14:paraId="6BFE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9F3882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0F27DC3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6DB378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清洗所有进水过滤器</w:t>
                  </w:r>
                </w:p>
              </w:tc>
            </w:tr>
            <w:tr w14:paraId="021E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405306F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64AA99F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0B7F96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检查压缩空气、蒸汽</w:t>
                  </w:r>
                </w:p>
              </w:tc>
            </w:tr>
            <w:tr w14:paraId="581F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965223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7EDFE41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真空泵、管路部分</w:t>
                  </w:r>
                </w:p>
              </w:tc>
              <w:tc>
                <w:tcPr>
                  <w:tcW w:w="6585" w:type="dxa"/>
                  <w:vAlign w:val="top"/>
                </w:tcPr>
                <w:p w14:paraId="6D0BF8E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检查电机运转情况</w:t>
                  </w:r>
                </w:p>
              </w:tc>
            </w:tr>
            <w:tr w14:paraId="21DB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903BA8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490B9C9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17B8B8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对真空管路部分进行紧固</w:t>
                  </w:r>
                </w:p>
              </w:tc>
            </w:tr>
            <w:tr w14:paraId="6D53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2704B40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298790C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78AF460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检查所有管道的连接状态</w:t>
                  </w:r>
                </w:p>
              </w:tc>
            </w:tr>
            <w:tr w14:paraId="1D38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FAAA36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2219C23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A1C247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电路控制部分</w:t>
                  </w:r>
                </w:p>
              </w:tc>
              <w:tc>
                <w:tcPr>
                  <w:tcW w:w="6585" w:type="dxa"/>
                  <w:vAlign w:val="top"/>
                </w:tcPr>
                <w:p w14:paraId="23B68EA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检查继电器的吸合情况及电磁阀组合的工作状态</w:t>
                  </w:r>
                </w:p>
              </w:tc>
            </w:tr>
            <w:tr w14:paraId="118A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9F1545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79731A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FA5BAB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紧固控制柜内端子螺栓，柜内清灰</w:t>
                  </w:r>
                </w:p>
              </w:tc>
            </w:tr>
            <w:tr w14:paraId="696EB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784446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A09A2E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7B9A510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检查所有的数字输入功能状态</w:t>
                  </w:r>
                </w:p>
              </w:tc>
            </w:tr>
            <w:tr w14:paraId="7061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5059A60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0888D96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45670B0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检查所有的数字输出功能状态</w:t>
                  </w:r>
                </w:p>
              </w:tc>
            </w:tr>
            <w:tr w14:paraId="54E0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2CF6E27C">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38842FF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6C40E2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检查所有的模拟输入功能状态</w:t>
                  </w:r>
                </w:p>
              </w:tc>
            </w:tr>
            <w:tr w14:paraId="6C0F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8" w:type="dxa"/>
                  <w:vMerge w:val="continue"/>
                  <w:tcBorders>
                    <w:top w:val="nil"/>
                    <w:bottom w:val="nil"/>
                  </w:tcBorders>
                  <w:vAlign w:val="top"/>
                </w:tcPr>
                <w:p w14:paraId="5C3A597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663933BB">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门部分</w:t>
                  </w:r>
                </w:p>
              </w:tc>
              <w:tc>
                <w:tcPr>
                  <w:tcW w:w="6585" w:type="dxa"/>
                  <w:vAlign w:val="top"/>
                </w:tcPr>
                <w:p w14:paraId="69A7738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检查门的上升功能、限位开关、互锁功能、安全功能</w:t>
                  </w:r>
                </w:p>
              </w:tc>
            </w:tr>
            <w:tr w14:paraId="513E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7D921AA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7887C6D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180F31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检查门封</w:t>
                  </w:r>
                </w:p>
              </w:tc>
            </w:tr>
            <w:tr w14:paraId="7284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E52200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222F411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6CA23C5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61362CF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65D696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EB85CC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其他</w:t>
                  </w:r>
                </w:p>
              </w:tc>
              <w:tc>
                <w:tcPr>
                  <w:tcW w:w="6585" w:type="dxa"/>
                  <w:vAlign w:val="top"/>
                </w:tcPr>
                <w:p w14:paraId="7570368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运行设备所有程序，检查自动控制状态，观察相关参数</w:t>
                  </w:r>
                </w:p>
              </w:tc>
            </w:tr>
            <w:tr w14:paraId="6052E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1D95F64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6DC1A7D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14B6312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检测供电电压状态，检查变压器状态和电压</w:t>
                  </w:r>
                </w:p>
              </w:tc>
            </w:tr>
            <w:tr w14:paraId="033C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66C69AF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666177B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4A84DB5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检测测漏功能</w:t>
                  </w:r>
                </w:p>
              </w:tc>
            </w:tr>
            <w:tr w14:paraId="7717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30ECDB8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2454C9E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334309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检测压力开关的工作压力值</w:t>
                  </w:r>
                </w:p>
              </w:tc>
            </w:tr>
            <w:tr w14:paraId="0D60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2233521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EA66D9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6F70C4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检查空气过滤器</w:t>
                  </w:r>
                </w:p>
              </w:tc>
            </w:tr>
            <w:tr w14:paraId="43952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0904033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505D273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A02EB8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检查所有单向阀、气动阀的工作状态</w:t>
                  </w:r>
                </w:p>
              </w:tc>
            </w:tr>
            <w:tr w14:paraId="29FE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nil"/>
                  </w:tcBorders>
                  <w:vAlign w:val="top"/>
                </w:tcPr>
                <w:p w14:paraId="6A7E822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3F14542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77C93BCB">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检查压力和温度的互锁关系</w:t>
                  </w:r>
                </w:p>
              </w:tc>
            </w:tr>
            <w:tr w14:paraId="775C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nil"/>
                    <w:bottom w:val="single" w:color="auto" w:sz="4" w:space="0"/>
                  </w:tcBorders>
                  <w:vAlign w:val="top"/>
                </w:tcPr>
                <w:p w14:paraId="4913419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single" w:color="auto" w:sz="4" w:space="0"/>
                  </w:tcBorders>
                  <w:vAlign w:val="top"/>
                </w:tcPr>
                <w:p w14:paraId="6347BBA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bottom w:val="single" w:color="auto" w:sz="4" w:space="0"/>
                  </w:tcBorders>
                  <w:vAlign w:val="top"/>
                </w:tcPr>
                <w:p w14:paraId="0F9B423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协助进行 BD/BI测试</w:t>
                  </w:r>
                </w:p>
              </w:tc>
            </w:tr>
            <w:tr w14:paraId="69A6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restart"/>
                  <w:tcBorders>
                    <w:top w:val="single" w:color="auto" w:sz="4" w:space="0"/>
                    <w:left w:val="single" w:color="auto" w:sz="4" w:space="0"/>
                  </w:tcBorders>
                  <w:vAlign w:val="top"/>
                </w:tcPr>
                <w:p w14:paraId="78E45CB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0C9BAF8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32CA8DB">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28157B9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516227F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07C5DC7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426D175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310F4DDF">
                  <w:pPr>
                    <w:pStyle w:val="3"/>
                    <w:spacing w:before="66" w:line="269" w:lineRule="auto"/>
                    <w:ind w:right="52"/>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全自动清洗机</w:t>
                  </w:r>
                </w:p>
              </w:tc>
              <w:tc>
                <w:tcPr>
                  <w:tcW w:w="1145" w:type="dxa"/>
                  <w:vMerge w:val="restart"/>
                  <w:tcBorders>
                    <w:top w:val="single" w:color="auto" w:sz="4" w:space="0"/>
                    <w:bottom w:val="nil"/>
                  </w:tcBorders>
                  <w:vAlign w:val="top"/>
                </w:tcPr>
                <w:p w14:paraId="47BA540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水路部分</w:t>
                  </w:r>
                </w:p>
              </w:tc>
              <w:tc>
                <w:tcPr>
                  <w:tcW w:w="6585" w:type="dxa"/>
                  <w:tcBorders>
                    <w:top w:val="single" w:color="auto" w:sz="4" w:space="0"/>
                    <w:right w:val="single" w:color="auto" w:sz="4" w:space="0"/>
                  </w:tcBorders>
                  <w:vAlign w:val="top"/>
                </w:tcPr>
                <w:p w14:paraId="5DF6955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检查进水电磁阀的开关情况</w:t>
                  </w:r>
                </w:p>
              </w:tc>
            </w:tr>
            <w:tr w14:paraId="74DE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395C453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32280F0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right w:val="single" w:color="auto" w:sz="4" w:space="0"/>
                  </w:tcBorders>
                  <w:vAlign w:val="top"/>
                </w:tcPr>
                <w:p w14:paraId="52D0EB6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清洗所有进水过滤器</w:t>
                  </w:r>
                </w:p>
              </w:tc>
            </w:tr>
            <w:tr w14:paraId="4A3D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55CE3FF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2318D3BC">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循环泵、管路部分</w:t>
                  </w:r>
                </w:p>
              </w:tc>
              <w:tc>
                <w:tcPr>
                  <w:tcW w:w="6585" w:type="dxa"/>
                  <w:tcBorders>
                    <w:right w:val="single" w:color="auto" w:sz="4" w:space="0"/>
                  </w:tcBorders>
                  <w:vAlign w:val="top"/>
                </w:tcPr>
                <w:p w14:paraId="4328A43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检查电机运转情况</w:t>
                  </w:r>
                </w:p>
              </w:tc>
            </w:tr>
            <w:tr w14:paraId="27F9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24399F0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665FB18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right w:val="single" w:color="auto" w:sz="4" w:space="0"/>
                  </w:tcBorders>
                  <w:vAlign w:val="top"/>
                </w:tcPr>
                <w:p w14:paraId="4034030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对循环管路部分进行紧固</w:t>
                  </w:r>
                </w:p>
              </w:tc>
            </w:tr>
            <w:tr w14:paraId="0571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765C496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2EB6728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right w:val="single" w:color="auto" w:sz="4" w:space="0"/>
                  </w:tcBorders>
                  <w:vAlign w:val="top"/>
                </w:tcPr>
                <w:p w14:paraId="257D9BF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检查所有管道的连接状态</w:t>
                  </w:r>
                </w:p>
              </w:tc>
            </w:tr>
            <w:tr w14:paraId="5F4F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bottom w:val="single" w:color="auto" w:sz="4" w:space="0"/>
                  </w:tcBorders>
                  <w:vAlign w:val="top"/>
                </w:tcPr>
                <w:p w14:paraId="09790C1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single" w:color="auto" w:sz="4" w:space="0"/>
                  </w:tcBorders>
                  <w:vAlign w:val="top"/>
                </w:tcPr>
                <w:p w14:paraId="2E052A9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1A4D7E9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电路控制部分</w:t>
                  </w:r>
                </w:p>
              </w:tc>
              <w:tc>
                <w:tcPr>
                  <w:tcW w:w="6585" w:type="dxa"/>
                  <w:tcBorders>
                    <w:bottom w:val="single" w:color="auto" w:sz="4" w:space="0"/>
                    <w:right w:val="single" w:color="auto" w:sz="4" w:space="0"/>
                  </w:tcBorders>
                  <w:vAlign w:val="top"/>
                </w:tcPr>
                <w:p w14:paraId="736570B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检查继电器的吸合情况及电磁阀组合的工作状态</w:t>
                  </w:r>
                </w:p>
              </w:tc>
            </w:tr>
            <w:tr w14:paraId="5026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top w:val="single" w:color="auto" w:sz="4" w:space="0"/>
                    <w:left w:val="single" w:color="auto" w:sz="4" w:space="0"/>
                  </w:tcBorders>
                  <w:vAlign w:val="top"/>
                </w:tcPr>
                <w:p w14:paraId="1A81F5F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single" w:color="auto" w:sz="4" w:space="0"/>
                    <w:bottom w:val="nil"/>
                  </w:tcBorders>
                  <w:vAlign w:val="top"/>
                </w:tcPr>
                <w:p w14:paraId="0E69BC9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tcBorders>
                    <w:top w:val="single" w:color="auto" w:sz="4" w:space="0"/>
                  </w:tcBorders>
                  <w:vAlign w:val="top"/>
                </w:tcPr>
                <w:p w14:paraId="1396AF4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紧固控制柜内端子螺栓，柜内清灰</w:t>
                  </w:r>
                </w:p>
              </w:tc>
            </w:tr>
            <w:tr w14:paraId="363A3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43FC27B7">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0F20D34B">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86D51D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检查所有的数字输入功能状态</w:t>
                  </w:r>
                </w:p>
              </w:tc>
            </w:tr>
            <w:tr w14:paraId="7DEC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A994B2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4BFA995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B2753C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检查所有的数字输出功能状态</w:t>
                  </w:r>
                </w:p>
              </w:tc>
            </w:tr>
            <w:tr w14:paraId="2DBA1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264300A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2DE887A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4883F8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检查所有的模拟输入功能状态</w:t>
                  </w:r>
                </w:p>
              </w:tc>
            </w:tr>
            <w:tr w14:paraId="0681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8" w:type="dxa"/>
                  <w:vMerge w:val="continue"/>
                  <w:tcBorders>
                    <w:left w:val="single" w:color="auto" w:sz="4" w:space="0"/>
                  </w:tcBorders>
                  <w:vAlign w:val="top"/>
                </w:tcPr>
                <w:p w14:paraId="2812C24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tcBorders>
                    <w:bottom w:val="nil"/>
                  </w:tcBorders>
                  <w:vAlign w:val="top"/>
                </w:tcPr>
                <w:p w14:paraId="7D560DD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D2071B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门部分</w:t>
                  </w:r>
                </w:p>
              </w:tc>
              <w:tc>
                <w:tcPr>
                  <w:tcW w:w="6585" w:type="dxa"/>
                  <w:vAlign w:val="top"/>
                </w:tcPr>
                <w:p w14:paraId="29E0BC7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检查门的上升、锁紧状态</w:t>
                  </w:r>
                </w:p>
              </w:tc>
            </w:tr>
            <w:tr w14:paraId="0F52F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63B9F410">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725B91D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CC4D38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检查马达、限位开关、安全状态</w:t>
                  </w:r>
                </w:p>
              </w:tc>
            </w:tr>
            <w:tr w14:paraId="65BC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4EBB974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bottom w:val="nil"/>
                  </w:tcBorders>
                  <w:vAlign w:val="top"/>
                </w:tcPr>
                <w:p w14:paraId="1FD67F1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E1E4A4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检查门的互锁功能、安全功能</w:t>
                  </w:r>
                </w:p>
              </w:tc>
            </w:tr>
            <w:tr w14:paraId="206E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15CF946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tcBorders>
                    <w:top w:val="nil"/>
                  </w:tcBorders>
                  <w:vAlign w:val="top"/>
                </w:tcPr>
                <w:p w14:paraId="3D9C19A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6765959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检查门封</w:t>
                  </w:r>
                </w:p>
              </w:tc>
            </w:tr>
            <w:tr w14:paraId="225DE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5B870D6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restart"/>
                  <w:vAlign w:val="top"/>
                </w:tcPr>
                <w:p w14:paraId="7F657EB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p w14:paraId="7BEF4EB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其他</w:t>
                  </w:r>
                </w:p>
              </w:tc>
              <w:tc>
                <w:tcPr>
                  <w:tcW w:w="6585" w:type="dxa"/>
                  <w:vAlign w:val="top"/>
                </w:tcPr>
                <w:p w14:paraId="4BE770D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调试运行所有程序，检查自动控制状态</w:t>
                  </w:r>
                </w:p>
              </w:tc>
            </w:tr>
            <w:tr w14:paraId="0296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48" w:type="dxa"/>
                  <w:vMerge w:val="continue"/>
                  <w:tcBorders>
                    <w:left w:val="single" w:color="auto" w:sz="4" w:space="0"/>
                  </w:tcBorders>
                  <w:vAlign w:val="top"/>
                </w:tcPr>
                <w:p w14:paraId="2A552B16">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409638D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E12A69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检测供电电压状态，检查变压器状态和电压</w:t>
                  </w:r>
                </w:p>
              </w:tc>
            </w:tr>
            <w:tr w14:paraId="0A95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09A7926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436D49EF">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1285EA0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检测烘干效果、过热保护状态</w:t>
                  </w:r>
                </w:p>
              </w:tc>
            </w:tr>
            <w:tr w14:paraId="66A9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1190288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0FB7B85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4478933E">
                  <w:pPr>
                    <w:pStyle w:val="3"/>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检测压力开关的工作压力值</w:t>
                  </w:r>
                </w:p>
              </w:tc>
            </w:tr>
            <w:tr w14:paraId="5D7C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2E38957D">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5E292CE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78CE61B">
                  <w:pPr>
                    <w:pStyle w:val="3"/>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检查蠕动泵的工作状态，进行进液的准确性校验</w:t>
                  </w:r>
                </w:p>
              </w:tc>
            </w:tr>
            <w:tr w14:paraId="5289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62F542E2">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7EA4021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91C9F93">
                  <w:pPr>
                    <w:pStyle w:val="3"/>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检查摇臂的转动状态，清洗摇臂内部</w:t>
                  </w:r>
                </w:p>
              </w:tc>
            </w:tr>
            <w:tr w14:paraId="2D9C9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5D597CF9">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57C978C4">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0AACA814">
                  <w:pPr>
                    <w:pStyle w:val="3"/>
                    <w:spacing w:before="66" w:line="269" w:lineRule="auto"/>
                    <w:ind w:left="7" w:right="52" w:firstLine="228" w:firstLineChars="101"/>
                    <w:rPr>
                      <w:rFonts w:hint="eastAsia" w:asciiTheme="minorHAnsi" w:hAnsiTheme="minorHAnsi" w:eastAsiaTheme="minorEastAsia" w:cstheme="minorBidi"/>
                      <w:kern w:val="2"/>
                      <w:sz w:val="21"/>
                      <w:szCs w:val="21"/>
                      <w:lang w:val="en-US" w:eastAsia="zh-CN" w:bidi="ar-SA"/>
                    </w:rPr>
                  </w:pPr>
                  <w:r>
                    <w:rPr>
                      <w:spacing w:val="8"/>
                      <w:sz w:val="21"/>
                      <w:szCs w:val="21"/>
                    </w:rPr>
                    <w:t>检查空气过滤器</w:t>
                  </w:r>
                </w:p>
              </w:tc>
            </w:tr>
            <w:tr w14:paraId="6F0B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71583DE8">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27BA7FDA">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113ED5E">
                  <w:pPr>
                    <w:pStyle w:val="3"/>
                    <w:spacing w:before="66" w:line="269" w:lineRule="auto"/>
                    <w:ind w:left="7" w:right="52" w:firstLine="228" w:firstLineChars="101"/>
                    <w:rPr>
                      <w:rFonts w:hint="eastAsia" w:asciiTheme="minorHAnsi" w:hAnsiTheme="minorHAnsi" w:eastAsiaTheme="minorEastAsia" w:cstheme="minorBidi"/>
                      <w:kern w:val="2"/>
                      <w:sz w:val="21"/>
                      <w:szCs w:val="21"/>
                      <w:lang w:val="en-US" w:eastAsia="zh-CN" w:bidi="ar-SA"/>
                    </w:rPr>
                  </w:pPr>
                  <w:r>
                    <w:rPr>
                      <w:spacing w:val="8"/>
                      <w:sz w:val="21"/>
                      <w:szCs w:val="21"/>
                    </w:rPr>
                    <w:t>检查烘干单向阀的功能</w:t>
                  </w:r>
                </w:p>
              </w:tc>
            </w:tr>
            <w:tr w14:paraId="0778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596C1CD1">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5B6C5EDB">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5C2F7817">
                  <w:pPr>
                    <w:pStyle w:val="3"/>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检查清洗管路单向阀的功能</w:t>
                  </w:r>
                </w:p>
              </w:tc>
            </w:tr>
            <w:tr w14:paraId="7601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7E175D7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1B771F9E">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2A272C0C">
                  <w:pPr>
                    <w:pStyle w:val="3"/>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检测排水泵的功能和安全状态</w:t>
                  </w:r>
                </w:p>
              </w:tc>
            </w:tr>
            <w:tr w14:paraId="319B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48" w:type="dxa"/>
                  <w:vMerge w:val="continue"/>
                  <w:tcBorders>
                    <w:left w:val="single" w:color="auto" w:sz="4" w:space="0"/>
                  </w:tcBorders>
                  <w:vAlign w:val="top"/>
                </w:tcPr>
                <w:p w14:paraId="50D34305">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1145" w:type="dxa"/>
                  <w:vMerge w:val="continue"/>
                  <w:vAlign w:val="top"/>
                </w:tcPr>
                <w:p w14:paraId="63FCF9D3">
                  <w:pPr>
                    <w:pStyle w:val="3"/>
                    <w:spacing w:before="66" w:line="269" w:lineRule="auto"/>
                    <w:ind w:left="7" w:right="52" w:firstLine="212" w:firstLineChars="101"/>
                    <w:rPr>
                      <w:rFonts w:hint="eastAsia" w:asciiTheme="minorHAnsi" w:hAnsiTheme="minorHAnsi" w:eastAsiaTheme="minorEastAsia" w:cstheme="minorBidi"/>
                      <w:kern w:val="2"/>
                      <w:sz w:val="21"/>
                      <w:szCs w:val="24"/>
                      <w:lang w:val="en-US" w:eastAsia="zh-CN" w:bidi="ar-SA"/>
                    </w:rPr>
                  </w:pPr>
                </w:p>
              </w:tc>
              <w:tc>
                <w:tcPr>
                  <w:tcW w:w="6585" w:type="dxa"/>
                  <w:vAlign w:val="top"/>
                </w:tcPr>
                <w:p w14:paraId="32BF5214">
                  <w:pPr>
                    <w:pStyle w:val="3"/>
                    <w:spacing w:before="66" w:line="269" w:lineRule="auto"/>
                    <w:ind w:left="7" w:right="52" w:firstLine="230" w:firstLineChars="101"/>
                    <w:rPr>
                      <w:rFonts w:hint="eastAsia" w:asciiTheme="minorHAnsi" w:hAnsiTheme="minorHAnsi" w:eastAsiaTheme="minorEastAsia" w:cstheme="minorBidi"/>
                      <w:kern w:val="2"/>
                      <w:sz w:val="21"/>
                      <w:szCs w:val="21"/>
                      <w:lang w:val="en-US" w:eastAsia="zh-CN" w:bidi="ar-SA"/>
                    </w:rPr>
                  </w:pPr>
                  <w:r>
                    <w:rPr>
                      <w:spacing w:val="9"/>
                      <w:sz w:val="21"/>
                      <w:szCs w:val="21"/>
                    </w:rPr>
                    <w:t>检测水泄漏压力开关的功能</w:t>
                  </w:r>
                </w:p>
              </w:tc>
            </w:tr>
          </w:tbl>
          <w:p w14:paraId="5F0F4841">
            <w:pPr>
              <w:pStyle w:val="3"/>
              <w:spacing w:before="65" w:line="227" w:lineRule="auto"/>
              <w:rPr>
                <w:spacing w:val="7"/>
              </w:rPr>
            </w:pPr>
          </w:p>
          <w:p w14:paraId="6F2E4CDF">
            <w:pPr>
              <w:numPr>
                <w:ilvl w:val="0"/>
                <w:numId w:val="0"/>
              </w:numPr>
              <w:rPr>
                <w:rFonts w:hint="default"/>
                <w:lang w:val="en-US" w:eastAsia="zh-CN"/>
              </w:rPr>
            </w:pPr>
          </w:p>
          <w:p w14:paraId="37DECB78">
            <w:pPr>
              <w:rPr>
                <w:b/>
                <w:bCs/>
                <w:color w:val="000000" w:themeColor="text1"/>
                <w:szCs w:val="21"/>
                <w14:textFill>
                  <w14:solidFill>
                    <w14:schemeClr w14:val="tx1"/>
                  </w14:solidFill>
                </w14:textFill>
              </w:rPr>
            </w:pPr>
          </w:p>
        </w:tc>
      </w:tr>
      <w:tr w14:paraId="169E2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672" w:hRule="atLeast"/>
          <w:tblCellSpacing w:w="0" w:type="dxa"/>
          <w:jc w:val="center"/>
        </w:trPr>
        <w:tc>
          <w:tcPr>
            <w:tcW w:w="663" w:type="dxa"/>
            <w:vAlign w:val="center"/>
          </w:tcPr>
          <w:p w14:paraId="187B8D30">
            <w:pPr>
              <w:spacing w:before="100" w:beforeAutospacing="1" w:after="100" w:afterAutospacing="1"/>
              <w:rPr>
                <w:color w:val="000000" w:themeColor="text1"/>
                <w:sz w:val="20"/>
                <w:szCs w:val="20"/>
                <w14:textFill>
                  <w14:solidFill>
                    <w14:schemeClr w14:val="tx1"/>
                  </w14:solidFill>
                </w14:textFill>
              </w:rPr>
            </w:pPr>
            <w:r>
              <w:t>商务需求</w:t>
            </w:r>
          </w:p>
        </w:tc>
        <w:tc>
          <w:tcPr>
            <w:tcW w:w="10072" w:type="dxa"/>
            <w:gridSpan w:val="3"/>
            <w:vAlign w:val="center"/>
          </w:tcPr>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66"/>
              <w:gridCol w:w="6445"/>
            </w:tblGrid>
            <w:tr w14:paraId="4F9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8" w:type="dxa"/>
                  <w:vAlign w:val="center"/>
                </w:tcPr>
                <w:p w14:paraId="39B219C5">
                  <w:pPr>
                    <w:widowControl/>
                    <w:spacing w:line="340" w:lineRule="exact"/>
                    <w:jc w:val="center"/>
                    <w:rPr>
                      <w:rFonts w:hint="eastAsia" w:cs="宋体" w:asciiTheme="minorEastAsia" w:hAnsiTheme="minorEastAsia"/>
                      <w:b/>
                      <w:bCs/>
                      <w:kern w:val="0"/>
                      <w:szCs w:val="21"/>
                      <w:lang w:val="en-US" w:eastAsia="zh-CN"/>
                    </w:rPr>
                  </w:pPr>
                  <w:r>
                    <w:rPr>
                      <w:rFonts w:hint="eastAsia" w:cs="宋体" w:asciiTheme="minorEastAsia" w:hAnsiTheme="minorEastAsia"/>
                      <w:b/>
                      <w:bCs/>
                      <w:kern w:val="0"/>
                      <w:szCs w:val="21"/>
                      <w:lang w:val="en-US" w:eastAsia="zh-CN"/>
                    </w:rPr>
                    <w:t>序号</w:t>
                  </w:r>
                </w:p>
              </w:tc>
              <w:tc>
                <w:tcPr>
                  <w:tcW w:w="1666" w:type="dxa"/>
                  <w:vAlign w:val="center"/>
                </w:tcPr>
                <w:p w14:paraId="7914067A">
                  <w:pPr>
                    <w:widowControl/>
                    <w:spacing w:line="340" w:lineRule="exact"/>
                    <w:jc w:val="center"/>
                    <w:rPr>
                      <w:rFonts w:hint="eastAsia" w:cs="宋体" w:asciiTheme="minorEastAsia" w:hAnsiTheme="minorEastAsia"/>
                      <w:b/>
                      <w:bCs/>
                      <w:kern w:val="0"/>
                      <w:szCs w:val="21"/>
                      <w:lang w:val="en-US" w:eastAsia="zh-CN"/>
                    </w:rPr>
                  </w:pPr>
                  <w:r>
                    <w:rPr>
                      <w:rFonts w:hint="eastAsia" w:cs="宋体" w:asciiTheme="minorEastAsia" w:hAnsiTheme="minorEastAsia"/>
                      <w:b/>
                      <w:bCs/>
                      <w:kern w:val="0"/>
                      <w:szCs w:val="21"/>
                      <w:lang w:val="en-US" w:eastAsia="zh-CN"/>
                    </w:rPr>
                    <w:t>目录</w:t>
                  </w:r>
                </w:p>
              </w:tc>
              <w:tc>
                <w:tcPr>
                  <w:tcW w:w="6445" w:type="dxa"/>
                  <w:vAlign w:val="center"/>
                </w:tcPr>
                <w:p w14:paraId="1500DBFD">
                  <w:pPr>
                    <w:widowControl/>
                    <w:spacing w:line="340" w:lineRule="exact"/>
                    <w:jc w:val="center"/>
                    <w:rPr>
                      <w:rFonts w:hint="eastAsia" w:cs="宋体" w:asciiTheme="minorEastAsia" w:hAnsiTheme="minorEastAsia"/>
                      <w:b/>
                      <w:bCs/>
                      <w:kern w:val="0"/>
                      <w:szCs w:val="21"/>
                      <w:lang w:val="en-US" w:eastAsia="zh-CN"/>
                    </w:rPr>
                  </w:pPr>
                  <w:r>
                    <w:rPr>
                      <w:rFonts w:hint="eastAsia" w:cs="宋体" w:asciiTheme="minorEastAsia" w:hAnsiTheme="minorEastAsia"/>
                      <w:b/>
                      <w:bCs/>
                      <w:kern w:val="0"/>
                      <w:szCs w:val="21"/>
                      <w:lang w:val="en-US" w:eastAsia="zh-CN"/>
                    </w:rPr>
                    <w:t>商务需求描述</w:t>
                  </w:r>
                </w:p>
              </w:tc>
            </w:tr>
            <w:tr w14:paraId="4707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8" w:type="dxa"/>
                  <w:vAlign w:val="center"/>
                </w:tcPr>
                <w:p w14:paraId="2EE31189">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tc>
              <w:tc>
                <w:tcPr>
                  <w:tcW w:w="1666" w:type="dxa"/>
                  <w:vAlign w:val="center"/>
                </w:tcPr>
                <w:p w14:paraId="4403DB0D">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服务期</w:t>
                  </w:r>
                </w:p>
              </w:tc>
              <w:tc>
                <w:tcPr>
                  <w:tcW w:w="6445" w:type="dxa"/>
                  <w:vAlign w:val="center"/>
                </w:tcPr>
                <w:p w14:paraId="7D73C17E">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维保服务按次进行，维保期内需免费提供相关软硬件的技术支持服务。</w:t>
                  </w:r>
                </w:p>
              </w:tc>
            </w:tr>
            <w:tr w14:paraId="3A4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8" w:type="dxa"/>
                  <w:vAlign w:val="center"/>
                </w:tcPr>
                <w:p w14:paraId="08E22952">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1666" w:type="dxa"/>
                  <w:vAlign w:val="center"/>
                </w:tcPr>
                <w:p w14:paraId="1383E738">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预算说明</w:t>
                  </w:r>
                </w:p>
              </w:tc>
              <w:tc>
                <w:tcPr>
                  <w:tcW w:w="6445" w:type="dxa"/>
                  <w:vAlign w:val="center"/>
                </w:tcPr>
                <w:p w14:paraId="56E2F53B">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本项目报价不允许超过本次预算限额</w:t>
                  </w:r>
                </w:p>
              </w:tc>
            </w:tr>
            <w:tr w14:paraId="0406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vAlign w:val="center"/>
                </w:tcPr>
                <w:p w14:paraId="4FBF6FCB">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666" w:type="dxa"/>
                </w:tcPr>
                <w:p w14:paraId="46BE0CAA">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维修响应及故障解决时间</w:t>
                  </w:r>
                </w:p>
              </w:tc>
              <w:tc>
                <w:tcPr>
                  <w:tcW w:w="6445" w:type="dxa"/>
                  <w:vAlign w:val="center"/>
                </w:tcPr>
                <w:p w14:paraId="26AAC289">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提供7*24小时响应服务，需2小时内响应，48小时内到达医院现场，每次维修后需提供维修报告医院签字确认。</w:t>
                  </w:r>
                </w:p>
              </w:tc>
            </w:tr>
            <w:tr w14:paraId="792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8" w:type="dxa"/>
                  <w:vAlign w:val="center"/>
                </w:tcPr>
                <w:p w14:paraId="520850C0">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1666" w:type="dxa"/>
                  <w:vAlign w:val="center"/>
                </w:tcPr>
                <w:p w14:paraId="17B0233B">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关于付款</w:t>
                  </w:r>
                </w:p>
              </w:tc>
              <w:tc>
                <w:tcPr>
                  <w:tcW w:w="6445" w:type="dxa"/>
                  <w:vAlign w:val="center"/>
                </w:tcPr>
                <w:p w14:paraId="02EDB1C5">
                  <w:pPr>
                    <w:widowControl/>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 xml:space="preserve">合同签订，完成项目规定所有条款并提交维保服务报告后及报销资料支付100%。 </w:t>
                  </w:r>
                </w:p>
              </w:tc>
            </w:tr>
            <w:tr w14:paraId="6579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8" w:type="dxa"/>
                  <w:vAlign w:val="center"/>
                </w:tcPr>
                <w:p w14:paraId="1CAC077F">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1666" w:type="dxa"/>
                  <w:shd w:val="clear"/>
                  <w:vAlign w:val="center"/>
                </w:tcPr>
                <w:p w14:paraId="77BA9538">
                  <w:pPr>
                    <w:widowControl/>
                    <w:spacing w:line="340" w:lineRule="exact"/>
                    <w:jc w:val="center"/>
                    <w:rPr>
                      <w:rFonts w:hint="eastAsia" w:eastAsia="宋体" w:cs="宋体" w:asciiTheme="minorEastAsia" w:hAnsiTheme="minorEastAsia"/>
                      <w:kern w:val="0"/>
                      <w:sz w:val="24"/>
                      <w:szCs w:val="21"/>
                      <w:lang w:val="en-US" w:eastAsia="zh-CN" w:bidi="ar-SA"/>
                    </w:rPr>
                  </w:pPr>
                  <w:r>
                    <w:rPr>
                      <w:rFonts w:hint="eastAsia" w:cs="宋体" w:asciiTheme="minorEastAsia" w:hAnsiTheme="minorEastAsia"/>
                      <w:kern w:val="0"/>
                      <w:szCs w:val="21"/>
                      <w:lang w:val="en-US" w:eastAsia="zh-CN"/>
                    </w:rPr>
                    <w:t>关于合同</w:t>
                  </w:r>
                </w:p>
              </w:tc>
              <w:tc>
                <w:tcPr>
                  <w:tcW w:w="6445" w:type="dxa"/>
                  <w:shd w:val="clear"/>
                  <w:vAlign w:val="top"/>
                </w:tcPr>
                <w:p w14:paraId="6A6C1E65">
                  <w:pPr>
                    <w:widowControl/>
                    <w:spacing w:line="340" w:lineRule="exact"/>
                    <w:jc w:val="left"/>
                    <w:rPr>
                      <w:rFonts w:hint="eastAsia" w:eastAsia="宋体" w:cs="宋体" w:asciiTheme="minorEastAsia" w:hAnsiTheme="minorEastAsia"/>
                      <w:kern w:val="0"/>
                      <w:sz w:val="24"/>
                      <w:szCs w:val="21"/>
                      <w:lang w:val="en-US" w:eastAsia="zh-CN" w:bidi="ar-SA"/>
                    </w:rPr>
                  </w:pPr>
                  <w:r>
                    <w:rPr>
                      <w:rFonts w:hint="eastAsia"/>
                    </w:rPr>
                    <w:t>项目整体服务期为签订合同之日起算</w:t>
                  </w:r>
                  <w:r>
                    <w:rPr>
                      <w:rFonts w:hint="eastAsia"/>
                      <w:lang w:val="en-US" w:eastAsia="zh-CN"/>
                    </w:rPr>
                    <w:t>一</w:t>
                  </w:r>
                  <w:r>
                    <w:rPr>
                      <w:rFonts w:hint="eastAsia"/>
                    </w:rPr>
                    <w:t>年</w:t>
                  </w:r>
                  <w:r>
                    <w:rPr>
                      <w:rFonts w:hint="eastAsia"/>
                      <w:lang w:eastAsia="zh-CN"/>
                    </w:rPr>
                    <w:t>，</w:t>
                  </w:r>
                  <w:r>
                    <w:rPr>
                      <w:rFonts w:hint="eastAsia" w:cs="宋体" w:asciiTheme="minorEastAsia" w:hAnsiTheme="minorEastAsia"/>
                      <w:kern w:val="0"/>
                      <w:szCs w:val="21"/>
                      <w:lang w:val="en-US" w:eastAsia="zh-CN"/>
                    </w:rPr>
                    <w:t>合同按照一年一签进行，合同到期后根据履约评价情况进行续签，合同续签次数不超过2次。</w:t>
                  </w:r>
                </w:p>
              </w:tc>
            </w:tr>
          </w:tbl>
          <w:p w14:paraId="7C4DA407">
            <w:pPr>
              <w:rPr>
                <w:b/>
                <w:bCs/>
                <w:color w:val="000000" w:themeColor="text1"/>
                <w:szCs w:val="21"/>
                <w14:textFill>
                  <w14:solidFill>
                    <w14:schemeClr w14:val="tx1"/>
                  </w14:solidFill>
                </w14:textFill>
              </w:rPr>
            </w:pPr>
          </w:p>
        </w:tc>
      </w:tr>
    </w:tbl>
    <w:p w14:paraId="393D46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B66B2"/>
    <w:rsid w:val="003559E0"/>
    <w:rsid w:val="0038279F"/>
    <w:rsid w:val="00440D8C"/>
    <w:rsid w:val="00444E9F"/>
    <w:rsid w:val="00600E6C"/>
    <w:rsid w:val="006375D9"/>
    <w:rsid w:val="00822C9A"/>
    <w:rsid w:val="008E1A96"/>
    <w:rsid w:val="009141ED"/>
    <w:rsid w:val="00BB33BB"/>
    <w:rsid w:val="00C76D53"/>
    <w:rsid w:val="00CC2D93"/>
    <w:rsid w:val="00E740E9"/>
    <w:rsid w:val="00E936B5"/>
    <w:rsid w:val="05EE6E49"/>
    <w:rsid w:val="35C3221D"/>
    <w:rsid w:val="41BB66B2"/>
    <w:rsid w:val="434E71FE"/>
    <w:rsid w:val="48606D4C"/>
    <w:rsid w:val="54AD4CCF"/>
    <w:rsid w:val="6E9D738E"/>
    <w:rsid w:val="7E7C51E7"/>
    <w:rsid w:val="7F93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Calibri" w:hAnsi="Calibri"/>
      <w:kern w:val="2"/>
      <w:sz w:val="21"/>
      <w:szCs w:val="20"/>
    </w:rPr>
  </w:style>
  <w:style w:type="paragraph" w:styleId="3">
    <w:name w:val="Body Text"/>
    <w:basedOn w:val="1"/>
    <w:unhideWhenUsed/>
    <w:qFormat/>
    <w:uiPriority w:val="99"/>
    <w:pPr>
      <w:spacing w:after="120"/>
    </w:pPr>
  </w:style>
  <w:style w:type="paragraph" w:styleId="4">
    <w:name w:val="footer"/>
    <w:basedOn w:val="1"/>
    <w:link w:val="10"/>
    <w:qFormat/>
    <w:uiPriority w:val="0"/>
    <w:pPr>
      <w:tabs>
        <w:tab w:val="center" w:pos="4153"/>
        <w:tab w:val="right" w:pos="8306"/>
      </w:tabs>
      <w:snapToGrid w:val="0"/>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widowControl w:val="0"/>
      <w:ind w:firstLine="420" w:firstLineChars="200"/>
      <w:jc w:val="both"/>
    </w:pPr>
    <w:rPr>
      <w:rFonts w:ascii="Calibri" w:hAnsi="Calibri"/>
      <w:kern w:val="2"/>
      <w:sz w:val="21"/>
      <w:szCs w:val="22"/>
    </w:rPr>
  </w:style>
  <w:style w:type="character" w:customStyle="1" w:styleId="9">
    <w:name w:val="页眉 Char"/>
    <w:basedOn w:val="7"/>
    <w:link w:val="5"/>
    <w:qFormat/>
    <w:uiPriority w:val="0"/>
    <w:rPr>
      <w:rFonts w:ascii="宋体" w:hAnsi="宋体" w:eastAsia="宋体" w:cs="宋体"/>
      <w:sz w:val="18"/>
      <w:szCs w:val="18"/>
    </w:rPr>
  </w:style>
  <w:style w:type="character" w:customStyle="1" w:styleId="10">
    <w:name w:val="页脚 Char"/>
    <w:basedOn w:val="7"/>
    <w:link w:val="4"/>
    <w:qFormat/>
    <w:uiPriority w:val="0"/>
    <w:rPr>
      <w:rFonts w:ascii="宋体" w:hAnsi="宋体" w:eastAsia="宋体" w:cs="宋体"/>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1801</Words>
  <Characters>1871</Characters>
  <Lines>11</Lines>
  <Paragraphs>3</Paragraphs>
  <TotalTime>3</TotalTime>
  <ScaleCrop>false</ScaleCrop>
  <LinksUpToDate>false</LinksUpToDate>
  <CharactersWithSpaces>1883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2026-06-23T03:26:00Z</dcterms:created>
  <dc:creator>玲玲儿</dc:creator>
  <cp:lastModifiedBy>孙美娜</cp:lastModifiedBy>
  <dcterms:modified xsi:type="dcterms:W3CDTF">2026-07-24T08:05:26Z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5CB372D5DAD7431D8F1E25386C037994_13</vt:lpwstr>
  </property>
  <property fmtid="{D5CDD505-2E9C-101B-9397-08002B2CF9AE}" pid="4" name="KSOTemplateDocerSaveRecord">
    <vt:lpwstr>eyJoZGlkIjoiNWI5MzFlZGQ1MWM5ZjJlZGU1ZDlkNWI3M2NjN2I4NDUiLCJ1c2VySWQiOiIxODcwOTgwODc2In0=</vt:lpwstr>
  </property>
</Properties>
</file>