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D6218">
      <w:pPr>
        <w:spacing w:line="440" w:lineRule="exact"/>
        <w:jc w:val="center"/>
        <w:rPr>
          <w:rFonts w:hint="eastAsia" w:ascii="仿宋_GB2312" w:eastAsia="仿宋_GB2312"/>
          <w:b/>
          <w:sz w:val="30"/>
          <w:szCs w:val="30"/>
        </w:rPr>
      </w:pPr>
      <w:r>
        <w:rPr>
          <w:rFonts w:hint="eastAsia" w:ascii="仿宋_GB2312" w:eastAsia="仿宋_GB2312"/>
          <w:b/>
          <w:sz w:val="30"/>
          <w:szCs w:val="30"/>
        </w:rPr>
        <w:t>南方医科大学深圳口腔医院（坪山）</w:t>
      </w:r>
    </w:p>
    <w:p w14:paraId="04F0185C">
      <w:pPr>
        <w:spacing w:line="440" w:lineRule="exact"/>
        <w:jc w:val="center"/>
        <w:rPr>
          <w:rFonts w:hint="eastAsia" w:ascii="仿宋_GB2312" w:eastAsia="仿宋_GB2312"/>
          <w:b/>
          <w:sz w:val="30"/>
          <w:szCs w:val="30"/>
        </w:rPr>
      </w:pPr>
      <w:r>
        <w:rPr>
          <w:rFonts w:hint="eastAsia" w:ascii="仿宋_GB2312" w:eastAsia="仿宋_GB2312"/>
          <w:b/>
          <w:sz w:val="30"/>
          <w:szCs w:val="30"/>
        </w:rPr>
        <w:t>职工餐厅服务项目市场调研需求</w:t>
      </w:r>
    </w:p>
    <w:p w14:paraId="644D8797">
      <w:pPr>
        <w:spacing w:line="440" w:lineRule="exact"/>
        <w:jc w:val="center"/>
      </w:pPr>
      <w:r>
        <w:rPr>
          <w:rFonts w:hint="eastAsia" w:ascii="仿宋_GB2312" w:eastAsia="仿宋_GB2312"/>
          <w:b/>
          <w:sz w:val="30"/>
          <w:szCs w:val="30"/>
        </w:rPr>
        <w:t>（项目编号：</w:t>
      </w:r>
      <w:r>
        <w:rPr>
          <w:rFonts w:ascii="仿宋_GB2312" w:eastAsia="仿宋_GB2312"/>
          <w:b/>
          <w:sz w:val="30"/>
          <w:szCs w:val="30"/>
        </w:rPr>
        <w:t>NFYKDSZKQ-ZW-FW-ZGCT-20260731001</w:t>
      </w:r>
      <w:r>
        <w:rPr>
          <w:rFonts w:hint="eastAsia" w:ascii="仿宋_GB2312" w:eastAsia="仿宋_GB2312"/>
          <w:b/>
          <w:sz w:val="30"/>
          <w:szCs w:val="30"/>
        </w:rPr>
        <w:t>）</w:t>
      </w:r>
    </w:p>
    <w:tbl>
      <w:tblPr>
        <w:tblStyle w:val="14"/>
        <w:tblW w:w="0" w:type="auto"/>
        <w:tblInd w:w="-3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82"/>
        <w:gridCol w:w="4666"/>
        <w:gridCol w:w="1707"/>
        <w:gridCol w:w="1761"/>
      </w:tblGrid>
      <w:tr w14:paraId="7C54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782" w:type="dxa"/>
            <w:shd w:val="clear" w:color="auto" w:fill="auto"/>
            <w:tcMar>
              <w:top w:w="120" w:type="dxa"/>
              <w:left w:w="120" w:type="dxa"/>
              <w:bottom w:w="120" w:type="dxa"/>
              <w:right w:w="120" w:type="dxa"/>
            </w:tcMar>
            <w:vAlign w:val="center"/>
          </w:tcPr>
          <w:p w14:paraId="530032FD">
            <w:pPr>
              <w:widowControl/>
              <w:spacing w:line="240" w:lineRule="auto"/>
              <w:jc w:val="left"/>
              <w:rPr>
                <w:b/>
                <w:bCs/>
                <w:sz w:val="21"/>
                <w:szCs w:val="21"/>
              </w:rPr>
            </w:pPr>
            <w:r>
              <w:rPr>
                <w:rFonts w:hint="eastAsia"/>
                <w:kern w:val="0"/>
                <w:sz w:val="21"/>
                <w:szCs w:val="21"/>
                <w:lang w:bidi="ar"/>
              </w:rPr>
              <w:t>项目名称</w:t>
            </w:r>
          </w:p>
        </w:tc>
        <w:tc>
          <w:tcPr>
            <w:tcW w:w="4666" w:type="dxa"/>
            <w:shd w:val="clear" w:color="auto" w:fill="auto"/>
            <w:tcMar>
              <w:top w:w="120" w:type="dxa"/>
              <w:left w:w="120" w:type="dxa"/>
              <w:bottom w:w="120" w:type="dxa"/>
              <w:right w:w="120" w:type="dxa"/>
            </w:tcMar>
            <w:vAlign w:val="center"/>
          </w:tcPr>
          <w:p w14:paraId="09A9F795">
            <w:pPr>
              <w:widowControl/>
              <w:spacing w:line="240" w:lineRule="auto"/>
              <w:jc w:val="left"/>
              <w:rPr>
                <w:b/>
                <w:bCs/>
                <w:sz w:val="21"/>
                <w:szCs w:val="21"/>
              </w:rPr>
            </w:pPr>
            <w:r>
              <w:rPr>
                <w:rFonts w:hint="eastAsia"/>
                <w:b/>
                <w:bCs/>
                <w:kern w:val="0"/>
                <w:sz w:val="21"/>
                <w:szCs w:val="21"/>
                <w:lang w:bidi="ar"/>
              </w:rPr>
              <w:t>南方医科大学深圳口腔医院（坪山）职工餐厅服务项目</w:t>
            </w:r>
          </w:p>
        </w:tc>
        <w:tc>
          <w:tcPr>
            <w:tcW w:w="1707" w:type="dxa"/>
            <w:shd w:val="clear" w:color="auto" w:fill="auto"/>
            <w:tcMar>
              <w:top w:w="120" w:type="dxa"/>
              <w:left w:w="120" w:type="dxa"/>
              <w:bottom w:w="120" w:type="dxa"/>
              <w:right w:w="120" w:type="dxa"/>
            </w:tcMar>
            <w:vAlign w:val="center"/>
          </w:tcPr>
          <w:p w14:paraId="725E7B54">
            <w:pPr>
              <w:widowControl/>
              <w:spacing w:line="240" w:lineRule="auto"/>
              <w:jc w:val="left"/>
              <w:rPr>
                <w:b/>
                <w:bCs/>
                <w:sz w:val="21"/>
                <w:szCs w:val="21"/>
              </w:rPr>
            </w:pPr>
            <w:r>
              <w:rPr>
                <w:rFonts w:hint="eastAsia"/>
                <w:kern w:val="0"/>
                <w:sz w:val="21"/>
                <w:szCs w:val="21"/>
                <w:lang w:bidi="ar"/>
              </w:rPr>
              <w:t>是否预选项目</w:t>
            </w:r>
          </w:p>
        </w:tc>
        <w:tc>
          <w:tcPr>
            <w:tcW w:w="1761" w:type="dxa"/>
            <w:shd w:val="clear" w:color="auto" w:fill="auto"/>
            <w:tcMar>
              <w:top w:w="120" w:type="dxa"/>
              <w:left w:w="120" w:type="dxa"/>
              <w:bottom w:w="120" w:type="dxa"/>
              <w:right w:w="120" w:type="dxa"/>
            </w:tcMar>
            <w:vAlign w:val="center"/>
          </w:tcPr>
          <w:p w14:paraId="237762E1">
            <w:pPr>
              <w:widowControl/>
              <w:spacing w:line="240" w:lineRule="auto"/>
              <w:jc w:val="left"/>
              <w:rPr>
                <w:b/>
                <w:bCs/>
                <w:sz w:val="21"/>
                <w:szCs w:val="21"/>
              </w:rPr>
            </w:pPr>
            <w:r>
              <w:rPr>
                <w:rFonts w:hint="eastAsia"/>
                <w:b/>
                <w:bCs/>
                <w:kern w:val="0"/>
                <w:sz w:val="21"/>
                <w:szCs w:val="21"/>
                <w:lang w:bidi="ar"/>
              </w:rPr>
              <w:t>否</w:t>
            </w:r>
          </w:p>
        </w:tc>
      </w:tr>
      <w:tr w14:paraId="03F2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4" w:hRule="atLeast"/>
        </w:trPr>
        <w:tc>
          <w:tcPr>
            <w:tcW w:w="782" w:type="dxa"/>
            <w:shd w:val="clear" w:color="auto" w:fill="auto"/>
            <w:tcMar>
              <w:top w:w="120" w:type="dxa"/>
              <w:left w:w="120" w:type="dxa"/>
              <w:bottom w:w="120" w:type="dxa"/>
              <w:right w:w="120" w:type="dxa"/>
            </w:tcMar>
            <w:vAlign w:val="center"/>
          </w:tcPr>
          <w:p w14:paraId="11186C45">
            <w:pPr>
              <w:widowControl/>
              <w:spacing w:line="240" w:lineRule="auto"/>
              <w:jc w:val="left"/>
              <w:rPr>
                <w:sz w:val="21"/>
                <w:szCs w:val="21"/>
              </w:rPr>
            </w:pPr>
            <w:r>
              <w:rPr>
                <w:rFonts w:hint="eastAsia"/>
                <w:kern w:val="0"/>
                <w:sz w:val="21"/>
                <w:szCs w:val="21"/>
                <w:lang w:bidi="ar"/>
              </w:rPr>
              <w:t>采购人名称</w:t>
            </w:r>
          </w:p>
        </w:tc>
        <w:tc>
          <w:tcPr>
            <w:tcW w:w="4666" w:type="dxa"/>
            <w:shd w:val="clear" w:color="auto" w:fill="auto"/>
            <w:tcMar>
              <w:top w:w="120" w:type="dxa"/>
              <w:left w:w="120" w:type="dxa"/>
              <w:bottom w:w="120" w:type="dxa"/>
              <w:right w:w="120" w:type="dxa"/>
            </w:tcMar>
            <w:vAlign w:val="center"/>
          </w:tcPr>
          <w:p w14:paraId="64EC79C5">
            <w:pPr>
              <w:widowControl/>
              <w:spacing w:line="240" w:lineRule="auto"/>
              <w:jc w:val="left"/>
              <w:rPr>
                <w:sz w:val="21"/>
                <w:szCs w:val="21"/>
              </w:rPr>
            </w:pPr>
            <w:r>
              <w:rPr>
                <w:rFonts w:hint="eastAsia"/>
                <w:kern w:val="0"/>
                <w:sz w:val="21"/>
                <w:szCs w:val="21"/>
                <w:lang w:bidi="ar"/>
              </w:rPr>
              <w:t>南方医科大学深圳口腔医院（坪山）</w:t>
            </w:r>
          </w:p>
        </w:tc>
        <w:tc>
          <w:tcPr>
            <w:tcW w:w="1707" w:type="dxa"/>
            <w:shd w:val="clear" w:color="auto" w:fill="auto"/>
            <w:tcMar>
              <w:top w:w="120" w:type="dxa"/>
              <w:left w:w="120" w:type="dxa"/>
              <w:bottom w:w="120" w:type="dxa"/>
              <w:right w:w="120" w:type="dxa"/>
            </w:tcMar>
            <w:vAlign w:val="center"/>
          </w:tcPr>
          <w:p w14:paraId="58C634A6">
            <w:pPr>
              <w:widowControl/>
              <w:spacing w:line="240" w:lineRule="auto"/>
              <w:jc w:val="left"/>
              <w:rPr>
                <w:sz w:val="21"/>
                <w:szCs w:val="21"/>
              </w:rPr>
            </w:pPr>
            <w:r>
              <w:rPr>
                <w:rFonts w:hint="eastAsia"/>
                <w:kern w:val="0"/>
                <w:sz w:val="21"/>
                <w:szCs w:val="21"/>
                <w:lang w:bidi="ar"/>
              </w:rPr>
              <w:t>采购方式</w:t>
            </w:r>
          </w:p>
        </w:tc>
        <w:tc>
          <w:tcPr>
            <w:tcW w:w="1761" w:type="dxa"/>
            <w:shd w:val="clear" w:color="auto" w:fill="auto"/>
            <w:tcMar>
              <w:top w:w="120" w:type="dxa"/>
              <w:left w:w="120" w:type="dxa"/>
              <w:bottom w:w="120" w:type="dxa"/>
              <w:right w:w="120" w:type="dxa"/>
            </w:tcMar>
            <w:vAlign w:val="center"/>
          </w:tcPr>
          <w:p w14:paraId="6578F1AB">
            <w:pPr>
              <w:widowControl/>
              <w:spacing w:line="240" w:lineRule="auto"/>
              <w:jc w:val="left"/>
              <w:rPr>
                <w:sz w:val="21"/>
                <w:szCs w:val="21"/>
              </w:rPr>
            </w:pPr>
            <w:r>
              <w:rPr>
                <w:rFonts w:hint="eastAsia"/>
                <w:kern w:val="0"/>
                <w:sz w:val="21"/>
                <w:szCs w:val="21"/>
                <w:lang w:bidi="ar"/>
              </w:rPr>
              <w:t>公开招标</w:t>
            </w:r>
          </w:p>
        </w:tc>
      </w:tr>
      <w:tr w14:paraId="6220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7" w:hRule="atLeast"/>
        </w:trPr>
        <w:tc>
          <w:tcPr>
            <w:tcW w:w="782" w:type="dxa"/>
            <w:shd w:val="clear" w:color="auto" w:fill="auto"/>
            <w:tcMar>
              <w:top w:w="120" w:type="dxa"/>
              <w:left w:w="120" w:type="dxa"/>
              <w:bottom w:w="120" w:type="dxa"/>
              <w:right w:w="120" w:type="dxa"/>
            </w:tcMar>
            <w:vAlign w:val="center"/>
          </w:tcPr>
          <w:p w14:paraId="2BE56260">
            <w:pPr>
              <w:widowControl/>
              <w:spacing w:line="240" w:lineRule="auto"/>
              <w:jc w:val="left"/>
              <w:rPr>
                <w:sz w:val="21"/>
                <w:szCs w:val="21"/>
              </w:rPr>
            </w:pPr>
            <w:r>
              <w:rPr>
                <w:rFonts w:hint="eastAsia"/>
                <w:kern w:val="0"/>
                <w:sz w:val="21"/>
                <w:szCs w:val="21"/>
                <w:lang w:bidi="ar"/>
              </w:rPr>
              <w:t>预算限额（元）</w:t>
            </w:r>
          </w:p>
        </w:tc>
        <w:tc>
          <w:tcPr>
            <w:tcW w:w="8134" w:type="dxa"/>
            <w:gridSpan w:val="3"/>
            <w:shd w:val="clear" w:color="auto" w:fill="auto"/>
            <w:tcMar>
              <w:top w:w="120" w:type="dxa"/>
              <w:left w:w="120" w:type="dxa"/>
              <w:bottom w:w="120" w:type="dxa"/>
              <w:right w:w="120" w:type="dxa"/>
            </w:tcMar>
            <w:vAlign w:val="center"/>
          </w:tcPr>
          <w:p w14:paraId="691F45B9">
            <w:pPr>
              <w:spacing w:line="240" w:lineRule="auto"/>
              <w:ind w:firstLine="2520" w:firstLineChars="1200"/>
              <w:jc w:val="left"/>
              <w:rPr>
                <w:sz w:val="21"/>
                <w:szCs w:val="21"/>
              </w:rPr>
            </w:pPr>
            <w:r>
              <w:rPr>
                <w:rFonts w:hint="eastAsia"/>
                <w:sz w:val="21"/>
                <w:szCs w:val="21"/>
              </w:rPr>
              <w:t>根据市场调研后确定</w:t>
            </w:r>
          </w:p>
        </w:tc>
      </w:tr>
      <w:tr w14:paraId="4F8E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05" w:hRule="atLeast"/>
        </w:trPr>
        <w:tc>
          <w:tcPr>
            <w:tcW w:w="782" w:type="dxa"/>
            <w:shd w:val="clear" w:color="auto" w:fill="auto"/>
            <w:tcMar>
              <w:top w:w="120" w:type="dxa"/>
              <w:left w:w="120" w:type="dxa"/>
              <w:bottom w:w="120" w:type="dxa"/>
              <w:right w:w="120" w:type="dxa"/>
            </w:tcMar>
            <w:vAlign w:val="center"/>
          </w:tcPr>
          <w:p w14:paraId="4520A9E9">
            <w:pPr>
              <w:widowControl/>
              <w:spacing w:line="240" w:lineRule="auto"/>
              <w:jc w:val="left"/>
              <w:rPr>
                <w:sz w:val="21"/>
                <w:szCs w:val="21"/>
              </w:rPr>
            </w:pPr>
            <w:r>
              <w:rPr>
                <w:rFonts w:hint="eastAsia"/>
                <w:kern w:val="0"/>
                <w:sz w:val="21"/>
                <w:szCs w:val="21"/>
                <w:lang w:bidi="ar"/>
              </w:rPr>
              <w:t>项目背景</w:t>
            </w:r>
          </w:p>
        </w:tc>
        <w:tc>
          <w:tcPr>
            <w:tcW w:w="8134" w:type="dxa"/>
            <w:gridSpan w:val="3"/>
            <w:shd w:val="clear" w:color="auto" w:fill="auto"/>
            <w:tcMar>
              <w:top w:w="120" w:type="dxa"/>
              <w:left w:w="120" w:type="dxa"/>
              <w:bottom w:w="120" w:type="dxa"/>
              <w:right w:w="120" w:type="dxa"/>
            </w:tcMar>
            <w:vAlign w:val="center"/>
          </w:tcPr>
          <w:p w14:paraId="3FAD9988">
            <w:pPr>
              <w:spacing w:line="240" w:lineRule="auto"/>
              <w:ind w:firstLine="420" w:firstLineChars="200"/>
              <w:rPr>
                <w:sz w:val="21"/>
                <w:szCs w:val="21"/>
              </w:rPr>
            </w:pPr>
            <w:r>
              <w:rPr>
                <w:rFonts w:hint="eastAsia"/>
                <w:sz w:val="21"/>
                <w:szCs w:val="21"/>
              </w:rPr>
              <w:t>为保障医院职工餐厅工作持续正常开展，向有资质的机构购买职工餐厅管理服务，负责提供餐饮服务,该餐厅不对外经营，仅供员工内部用餐及患者用餐，目前医院员工230人。餐厅位于深圳市坪山区东纵路143号，餐厅设施设备、餐桌椅、用品用具配置齐全，餐厅运营公司根据医院运营时间提供早中晚三餐日常服务以及特殊情况下的应急供餐保障服务。</w:t>
            </w:r>
          </w:p>
        </w:tc>
      </w:tr>
      <w:tr w14:paraId="2BCC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782" w:type="dxa"/>
            <w:shd w:val="clear" w:color="auto" w:fill="auto"/>
            <w:tcMar>
              <w:top w:w="120" w:type="dxa"/>
              <w:left w:w="120" w:type="dxa"/>
              <w:bottom w:w="120" w:type="dxa"/>
              <w:right w:w="120" w:type="dxa"/>
            </w:tcMar>
            <w:vAlign w:val="center"/>
          </w:tcPr>
          <w:p w14:paraId="7F614F20">
            <w:pPr>
              <w:widowControl/>
              <w:spacing w:line="240" w:lineRule="auto"/>
              <w:jc w:val="left"/>
              <w:rPr>
                <w:kern w:val="0"/>
                <w:sz w:val="21"/>
                <w:szCs w:val="21"/>
                <w:lang w:bidi="ar"/>
              </w:rPr>
            </w:pPr>
            <w:r>
              <w:rPr>
                <w:rFonts w:hint="eastAsia"/>
                <w:kern w:val="0"/>
                <w:sz w:val="21"/>
                <w:szCs w:val="21"/>
                <w:lang w:bidi="ar"/>
              </w:rPr>
              <w:t>项目性质</w:t>
            </w:r>
          </w:p>
        </w:tc>
        <w:tc>
          <w:tcPr>
            <w:tcW w:w="8134" w:type="dxa"/>
            <w:gridSpan w:val="3"/>
            <w:shd w:val="clear" w:color="auto" w:fill="auto"/>
            <w:tcMar>
              <w:top w:w="120" w:type="dxa"/>
              <w:left w:w="120" w:type="dxa"/>
              <w:bottom w:w="120" w:type="dxa"/>
              <w:right w:w="120" w:type="dxa"/>
            </w:tcMar>
            <w:vAlign w:val="center"/>
          </w:tcPr>
          <w:p w14:paraId="365DCE87">
            <w:pPr>
              <w:spacing w:line="240" w:lineRule="auto"/>
              <w:ind w:firstLine="420" w:firstLineChars="200"/>
              <w:rPr>
                <w:sz w:val="21"/>
                <w:szCs w:val="21"/>
              </w:rPr>
            </w:pPr>
            <w:r>
              <w:rPr>
                <w:rFonts w:hint="eastAsia"/>
                <w:sz w:val="21"/>
                <w:szCs w:val="21"/>
              </w:rPr>
              <w:t>本项目为职工餐厅服务外包，由采购人提供餐厅场地、厨房设备设施、水电气能源及食材物料，供应商负责派驻服务团队到院工作，承担人员管理、薪酬发放、用工风险及日常运营管理责任，供应商在采购人监督管理下自主经营，自负盈亏。</w:t>
            </w:r>
          </w:p>
        </w:tc>
      </w:tr>
      <w:tr w14:paraId="4BBC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40" w:hRule="atLeast"/>
        </w:trPr>
        <w:tc>
          <w:tcPr>
            <w:tcW w:w="782" w:type="dxa"/>
            <w:shd w:val="clear" w:color="auto" w:fill="auto"/>
            <w:tcMar>
              <w:top w:w="120" w:type="dxa"/>
              <w:left w:w="120" w:type="dxa"/>
              <w:bottom w:w="120" w:type="dxa"/>
              <w:right w:w="120" w:type="dxa"/>
            </w:tcMar>
            <w:vAlign w:val="center"/>
          </w:tcPr>
          <w:p w14:paraId="67F848B6">
            <w:pPr>
              <w:widowControl/>
              <w:spacing w:line="240" w:lineRule="auto"/>
              <w:jc w:val="left"/>
              <w:rPr>
                <w:sz w:val="21"/>
                <w:szCs w:val="21"/>
              </w:rPr>
            </w:pPr>
            <w:r>
              <w:rPr>
                <w:rFonts w:hint="eastAsia"/>
                <w:kern w:val="0"/>
                <w:sz w:val="21"/>
                <w:szCs w:val="21"/>
                <w:lang w:bidi="ar"/>
              </w:rPr>
              <w:t>资质要求</w:t>
            </w:r>
          </w:p>
        </w:tc>
        <w:tc>
          <w:tcPr>
            <w:tcW w:w="8134" w:type="dxa"/>
            <w:gridSpan w:val="3"/>
            <w:shd w:val="clear" w:color="auto" w:fill="auto"/>
            <w:tcMar>
              <w:top w:w="120" w:type="dxa"/>
              <w:left w:w="120" w:type="dxa"/>
              <w:bottom w:w="120" w:type="dxa"/>
              <w:right w:w="120" w:type="dxa"/>
            </w:tcMar>
            <w:vAlign w:val="center"/>
          </w:tcPr>
          <w:p w14:paraId="409142EB">
            <w:pPr>
              <w:widowControl/>
              <w:shd w:val="clear" w:color="auto" w:fill="FFFFFF"/>
              <w:spacing w:line="240" w:lineRule="auto"/>
              <w:ind w:firstLine="480"/>
              <w:jc w:val="left"/>
              <w:rPr>
                <w:color w:val="4E4E4E"/>
                <w:sz w:val="21"/>
                <w:szCs w:val="21"/>
              </w:rPr>
            </w:pPr>
            <w:r>
              <w:rPr>
                <w:rFonts w:hint="eastAsia"/>
                <w:color w:val="4E4E4E"/>
                <w:kern w:val="0"/>
                <w:sz w:val="21"/>
                <w:szCs w:val="21"/>
                <w:shd w:val="clear" w:color="auto" w:fill="FFFFFF"/>
                <w:lang w:bidi="ar"/>
              </w:rPr>
              <w:t>1.参与市场调研的单位须是在中华人民共和国境内注册，具有独立法人资格或是具有独立承担民事责任的能力的其它组织（提供营业执照扫描件或事业单位法人证等法人证明扫描件，原件备查）；总公司或者分公司只允许一家参与市场调研的单位，不允许同时参与本项目参与市场调研的单位，以分公司名义参与参与市场调研的单位的，须提供总公司或具有独立法人的上一级公司出具的愿为其参与本项目参与市场调研的单位的行为以及履约等行为承担民事责任的加盖总公司公章的授权函，以及提供总、分公司的营业执照扫描件，原件备查。</w:t>
            </w:r>
          </w:p>
          <w:p w14:paraId="2E97DF1B">
            <w:pPr>
              <w:widowControl/>
              <w:shd w:val="clear" w:color="auto" w:fill="FFFFFF"/>
              <w:spacing w:line="240" w:lineRule="auto"/>
              <w:ind w:firstLine="480"/>
              <w:jc w:val="left"/>
              <w:rPr>
                <w:color w:val="4E4E4E"/>
                <w:sz w:val="21"/>
                <w:szCs w:val="21"/>
              </w:rPr>
            </w:pPr>
            <w:r>
              <w:rPr>
                <w:rFonts w:hint="eastAsia"/>
                <w:color w:val="4E4E4E"/>
                <w:kern w:val="0"/>
                <w:sz w:val="21"/>
                <w:szCs w:val="21"/>
                <w:shd w:val="clear" w:color="auto" w:fill="FFFFFF"/>
                <w:lang w:bidi="ar"/>
              </w:rPr>
              <w:t>2.本项目不接受联合体参与市场调研。</w:t>
            </w:r>
          </w:p>
          <w:p w14:paraId="507CBCF4">
            <w:pPr>
              <w:widowControl/>
              <w:shd w:val="clear" w:color="auto" w:fill="FFFFFF"/>
              <w:spacing w:line="240" w:lineRule="auto"/>
              <w:ind w:firstLine="480"/>
              <w:jc w:val="left"/>
              <w:rPr>
                <w:color w:val="4E4E4E"/>
                <w:sz w:val="21"/>
                <w:szCs w:val="21"/>
              </w:rPr>
            </w:pPr>
            <w:r>
              <w:rPr>
                <w:rFonts w:hint="eastAsia"/>
                <w:color w:val="4E4E4E"/>
                <w:kern w:val="0"/>
                <w:sz w:val="21"/>
                <w:szCs w:val="21"/>
                <w:shd w:val="clear" w:color="auto" w:fill="FFFFFF"/>
                <w:lang w:bidi="ar"/>
              </w:rPr>
              <w:t>3.参与本项目参与市场调研的单位前三年内，在经营活动中没有重大违法记录（由供应商在《政府采购投标及履约承诺函》中作出声明</w:t>
            </w:r>
            <w:r>
              <w:rPr>
                <w:rFonts w:hint="eastAsia"/>
                <w:color w:val="4E4E4E"/>
                <w:kern w:val="0"/>
                <w:sz w:val="21"/>
                <w:szCs w:val="21"/>
                <w:shd w:val="clear" w:color="auto" w:fill="FFFFFF"/>
                <w:lang w:eastAsia="zh-CN" w:bidi="ar"/>
              </w:rPr>
              <w:t>，</w:t>
            </w:r>
            <w:r>
              <w:rPr>
                <w:rFonts w:hint="eastAsia"/>
                <w:color w:val="4E4E4E"/>
                <w:kern w:val="0"/>
                <w:sz w:val="21"/>
                <w:szCs w:val="21"/>
                <w:shd w:val="clear" w:color="auto" w:fill="FFFFFF"/>
                <w:lang w:val="en-US" w:eastAsia="zh-CN" w:bidi="ar"/>
              </w:rPr>
              <w:t>格式自拟</w:t>
            </w:r>
            <w:r>
              <w:rPr>
                <w:rFonts w:hint="eastAsia"/>
                <w:color w:val="4E4E4E"/>
                <w:kern w:val="0"/>
                <w:sz w:val="21"/>
                <w:szCs w:val="21"/>
                <w:shd w:val="clear" w:color="auto" w:fill="FFFFFF"/>
                <w:lang w:bidi="ar"/>
              </w:rPr>
              <w:t>）。</w:t>
            </w:r>
          </w:p>
          <w:p w14:paraId="128510B3">
            <w:pPr>
              <w:widowControl/>
              <w:shd w:val="clear" w:color="auto" w:fill="FFFFFF"/>
              <w:spacing w:line="240" w:lineRule="auto"/>
              <w:ind w:firstLine="480"/>
              <w:jc w:val="left"/>
              <w:rPr>
                <w:color w:val="4E4E4E"/>
                <w:sz w:val="21"/>
                <w:szCs w:val="21"/>
              </w:rPr>
            </w:pPr>
            <w:r>
              <w:rPr>
                <w:rFonts w:hint="eastAsia"/>
                <w:color w:val="4E4E4E"/>
                <w:kern w:val="0"/>
                <w:sz w:val="21"/>
                <w:szCs w:val="21"/>
                <w:shd w:val="clear" w:color="auto" w:fill="FFFFFF"/>
                <w:lang w:bidi="ar"/>
              </w:rPr>
              <w:t>4.参与本项目政府采购活动时不存在被有关部门禁止参与政府采购活动且在有效期内的情况（由供应商在《政府采购投标及履约承诺函》中作出声明</w:t>
            </w:r>
            <w:r>
              <w:rPr>
                <w:rFonts w:hint="eastAsia"/>
                <w:color w:val="4E4E4E"/>
                <w:kern w:val="0"/>
                <w:sz w:val="21"/>
                <w:szCs w:val="21"/>
                <w:shd w:val="clear" w:color="auto" w:fill="FFFFFF"/>
                <w:lang w:eastAsia="zh-CN" w:bidi="ar"/>
              </w:rPr>
              <w:t>，</w:t>
            </w:r>
            <w:r>
              <w:rPr>
                <w:rFonts w:hint="eastAsia"/>
                <w:color w:val="4E4E4E"/>
                <w:kern w:val="0"/>
                <w:sz w:val="21"/>
                <w:szCs w:val="21"/>
                <w:shd w:val="clear" w:color="auto" w:fill="FFFFFF"/>
                <w:lang w:val="en-US" w:eastAsia="zh-CN" w:bidi="ar"/>
              </w:rPr>
              <w:t>格式自拟</w:t>
            </w:r>
            <w:r>
              <w:rPr>
                <w:rFonts w:hint="eastAsia"/>
                <w:color w:val="4E4E4E"/>
                <w:kern w:val="0"/>
                <w:sz w:val="21"/>
                <w:szCs w:val="21"/>
                <w:shd w:val="clear" w:color="auto" w:fill="FFFFFF"/>
                <w:lang w:bidi="ar"/>
              </w:rPr>
              <w:t>）。</w:t>
            </w:r>
          </w:p>
          <w:p w14:paraId="48792505">
            <w:pPr>
              <w:widowControl/>
              <w:shd w:val="clear" w:color="auto" w:fill="FFFFFF"/>
              <w:spacing w:line="240" w:lineRule="auto"/>
              <w:ind w:firstLine="480"/>
              <w:jc w:val="left"/>
              <w:rPr>
                <w:color w:val="4E4E4E"/>
                <w:sz w:val="21"/>
                <w:szCs w:val="21"/>
              </w:rPr>
            </w:pPr>
            <w:r>
              <w:rPr>
                <w:rFonts w:hint="eastAsia"/>
                <w:color w:val="4E4E4E"/>
                <w:kern w:val="0"/>
                <w:sz w:val="21"/>
                <w:szCs w:val="21"/>
                <w:shd w:val="clear" w:color="auto" w:fill="FFFFFF"/>
                <w:lang w:bidi="ar"/>
              </w:rPr>
              <w:t>5.具备《中华人民共和国政府采购法》第二十二条第一款的条件（由供应商在《政府采购投标及履约承诺函》中作出声明</w:t>
            </w:r>
            <w:r>
              <w:rPr>
                <w:rFonts w:hint="eastAsia"/>
                <w:color w:val="4E4E4E"/>
                <w:kern w:val="0"/>
                <w:sz w:val="21"/>
                <w:szCs w:val="21"/>
                <w:shd w:val="clear" w:color="auto" w:fill="FFFFFF"/>
                <w:lang w:eastAsia="zh-CN" w:bidi="ar"/>
              </w:rPr>
              <w:t>，</w:t>
            </w:r>
            <w:r>
              <w:rPr>
                <w:rFonts w:hint="eastAsia"/>
                <w:color w:val="4E4E4E"/>
                <w:kern w:val="0"/>
                <w:sz w:val="21"/>
                <w:szCs w:val="21"/>
                <w:shd w:val="clear" w:color="auto" w:fill="FFFFFF"/>
                <w:lang w:val="en-US" w:eastAsia="zh-CN" w:bidi="ar"/>
              </w:rPr>
              <w:t>格式自拟</w:t>
            </w:r>
            <w:r>
              <w:rPr>
                <w:rFonts w:hint="eastAsia"/>
                <w:color w:val="4E4E4E"/>
                <w:kern w:val="0"/>
                <w:sz w:val="21"/>
                <w:szCs w:val="21"/>
                <w:shd w:val="clear" w:color="auto" w:fill="FFFFFF"/>
                <w:lang w:bidi="ar"/>
              </w:rPr>
              <w:t>）。</w:t>
            </w:r>
          </w:p>
          <w:p w14:paraId="513EACDE">
            <w:pPr>
              <w:widowControl/>
              <w:shd w:val="clear" w:color="auto" w:fill="FFFFFF"/>
              <w:spacing w:line="240" w:lineRule="auto"/>
              <w:ind w:firstLine="480"/>
              <w:jc w:val="left"/>
              <w:rPr>
                <w:color w:val="4E4E4E"/>
                <w:sz w:val="21"/>
                <w:szCs w:val="21"/>
              </w:rPr>
            </w:pPr>
            <w:r>
              <w:rPr>
                <w:rFonts w:hint="eastAsia"/>
                <w:color w:val="4E4E4E"/>
                <w:kern w:val="0"/>
                <w:sz w:val="21"/>
                <w:szCs w:val="21"/>
                <w:shd w:val="clear" w:color="auto" w:fill="FFFFFF"/>
                <w:lang w:bidi="ar"/>
              </w:rPr>
              <w:t>6.未被列入失信被执行人、重大税收违法案件当事人名单、政府采购严重违法失信行为记录名单（由供应商在《政府采购投标及履约承诺函》中作出声明</w:t>
            </w:r>
            <w:r>
              <w:rPr>
                <w:rFonts w:hint="eastAsia"/>
                <w:color w:val="4E4E4E"/>
                <w:kern w:val="0"/>
                <w:sz w:val="21"/>
                <w:szCs w:val="21"/>
                <w:shd w:val="clear" w:color="auto" w:fill="FFFFFF"/>
                <w:lang w:eastAsia="zh-CN" w:bidi="ar"/>
              </w:rPr>
              <w:t>，</w:t>
            </w:r>
            <w:r>
              <w:rPr>
                <w:rFonts w:hint="eastAsia"/>
                <w:color w:val="4E4E4E"/>
                <w:kern w:val="0"/>
                <w:sz w:val="21"/>
                <w:szCs w:val="21"/>
                <w:shd w:val="clear" w:color="auto" w:fill="FFFFFF"/>
                <w:lang w:val="en-US" w:eastAsia="zh-CN" w:bidi="ar"/>
              </w:rPr>
              <w:t>格式自拟</w:t>
            </w:r>
            <w:r>
              <w:rPr>
                <w:rFonts w:hint="eastAsia"/>
                <w:color w:val="4E4E4E"/>
                <w:kern w:val="0"/>
                <w:sz w:val="21"/>
                <w:szCs w:val="21"/>
                <w:shd w:val="clear" w:color="auto" w:fill="FFFFFF"/>
                <w:lang w:bidi="ar"/>
              </w:rPr>
              <w:t>）。</w:t>
            </w:r>
          </w:p>
          <w:p w14:paraId="2DC35CBF">
            <w:pPr>
              <w:widowControl/>
              <w:shd w:val="clear" w:color="auto" w:fill="FFFFFF"/>
              <w:spacing w:line="240" w:lineRule="auto"/>
              <w:ind w:firstLine="480"/>
              <w:jc w:val="left"/>
              <w:rPr>
                <w:color w:val="4E4E4E"/>
                <w:sz w:val="21"/>
                <w:szCs w:val="21"/>
              </w:rPr>
            </w:pPr>
            <w:r>
              <w:rPr>
                <w:rFonts w:hint="eastAsia"/>
                <w:color w:val="4E4E4E"/>
                <w:kern w:val="0"/>
                <w:sz w:val="21"/>
                <w:szCs w:val="21"/>
                <w:shd w:val="clear" w:color="auto" w:fill="FFFFFF"/>
                <w:lang w:bidi="ar"/>
              </w:rPr>
              <w:t>7.参与市场调研的单位为本项目提供整体设计、规范编制或者管理、监理、检测等服务的，不得再参与此次采购项目的参与市场调研的单位（由供应商在《政府采购投标及履约承诺函》中作出声明</w:t>
            </w:r>
            <w:r>
              <w:rPr>
                <w:rFonts w:hint="eastAsia"/>
                <w:color w:val="4E4E4E"/>
                <w:kern w:val="0"/>
                <w:sz w:val="21"/>
                <w:szCs w:val="21"/>
                <w:shd w:val="clear" w:color="auto" w:fill="FFFFFF"/>
                <w:lang w:eastAsia="zh-CN" w:bidi="ar"/>
              </w:rPr>
              <w:t>，</w:t>
            </w:r>
            <w:r>
              <w:rPr>
                <w:rFonts w:hint="eastAsia"/>
                <w:color w:val="4E4E4E"/>
                <w:kern w:val="0"/>
                <w:sz w:val="21"/>
                <w:szCs w:val="21"/>
                <w:shd w:val="clear" w:color="auto" w:fill="FFFFFF"/>
                <w:lang w:val="en-US" w:eastAsia="zh-CN" w:bidi="ar"/>
              </w:rPr>
              <w:t>格式自拟</w:t>
            </w:r>
            <w:r>
              <w:rPr>
                <w:rFonts w:hint="eastAsia"/>
                <w:color w:val="4E4E4E"/>
                <w:kern w:val="0"/>
                <w:sz w:val="21"/>
                <w:szCs w:val="21"/>
                <w:shd w:val="clear" w:color="auto" w:fill="FFFFFF"/>
                <w:lang w:bidi="ar"/>
              </w:rPr>
              <w:t>）。</w:t>
            </w:r>
          </w:p>
          <w:p w14:paraId="1C0134C8">
            <w:pPr>
              <w:widowControl/>
              <w:shd w:val="clear" w:color="auto" w:fill="FFFFFF"/>
              <w:spacing w:line="240" w:lineRule="auto"/>
              <w:ind w:firstLine="480"/>
              <w:jc w:val="left"/>
              <w:rPr>
                <w:color w:val="4E4E4E"/>
                <w:sz w:val="21"/>
                <w:szCs w:val="21"/>
              </w:rPr>
            </w:pPr>
            <w:r>
              <w:rPr>
                <w:rFonts w:hint="eastAsia"/>
                <w:color w:val="4E4E4E"/>
                <w:kern w:val="0"/>
                <w:sz w:val="21"/>
                <w:szCs w:val="21"/>
                <w:shd w:val="clear" w:color="auto" w:fill="FFFFFF"/>
                <w:lang w:bidi="ar"/>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25BCEC2B">
            <w:pPr>
              <w:widowControl/>
              <w:shd w:val="clear" w:color="auto" w:fill="FFFFFF"/>
              <w:spacing w:line="240" w:lineRule="auto"/>
              <w:ind w:firstLine="480"/>
              <w:jc w:val="left"/>
              <w:rPr>
                <w:color w:val="4E4E4E"/>
                <w:sz w:val="21"/>
                <w:szCs w:val="21"/>
              </w:rPr>
            </w:pPr>
            <w:r>
              <w:rPr>
                <w:rFonts w:hint="eastAsia"/>
                <w:color w:val="4E4E4E"/>
                <w:kern w:val="0"/>
                <w:sz w:val="21"/>
                <w:szCs w:val="21"/>
                <w:shd w:val="clear" w:color="auto" w:fill="FFFFFF"/>
                <w:lang w:bidi="ar"/>
              </w:rPr>
              <w:t>9.不存在《深圳市财政局政府采购供应商信用信息管理办法》（深财规〔2023〕3 号）列明的严重违法失信行为（由供应商在《政府采购投标及履约承诺函》中作出承诺</w:t>
            </w:r>
            <w:r>
              <w:rPr>
                <w:rFonts w:hint="eastAsia"/>
                <w:color w:val="4E4E4E"/>
                <w:kern w:val="0"/>
                <w:sz w:val="21"/>
                <w:szCs w:val="21"/>
                <w:shd w:val="clear" w:color="auto" w:fill="FFFFFF"/>
                <w:lang w:eastAsia="zh-CN" w:bidi="ar"/>
              </w:rPr>
              <w:t>，</w:t>
            </w:r>
            <w:r>
              <w:rPr>
                <w:rFonts w:hint="eastAsia"/>
                <w:color w:val="4E4E4E"/>
                <w:kern w:val="0"/>
                <w:sz w:val="21"/>
                <w:szCs w:val="21"/>
                <w:shd w:val="clear" w:color="auto" w:fill="FFFFFF"/>
                <w:lang w:val="en-US" w:eastAsia="zh-CN" w:bidi="ar"/>
              </w:rPr>
              <w:t>格式自拟</w:t>
            </w:r>
            <w:r>
              <w:rPr>
                <w:rFonts w:hint="eastAsia"/>
                <w:color w:val="4E4E4E"/>
                <w:kern w:val="0"/>
                <w:sz w:val="21"/>
                <w:szCs w:val="21"/>
                <w:shd w:val="clear" w:color="auto" w:fill="FFFFFF"/>
                <w:lang w:bidi="ar"/>
              </w:rPr>
              <w:t>）。</w:t>
            </w:r>
          </w:p>
          <w:p w14:paraId="4DAE87C2">
            <w:pPr>
              <w:widowControl/>
              <w:shd w:val="clear" w:color="auto" w:fill="FFFFFF"/>
              <w:spacing w:line="240" w:lineRule="auto"/>
              <w:ind w:firstLine="480"/>
              <w:jc w:val="left"/>
              <w:rPr>
                <w:color w:val="4E4E4E"/>
                <w:sz w:val="21"/>
                <w:szCs w:val="21"/>
              </w:rPr>
            </w:pPr>
            <w:r>
              <w:rPr>
                <w:rFonts w:hint="eastAsia"/>
                <w:color w:val="4E4E4E"/>
                <w:kern w:val="0"/>
                <w:sz w:val="21"/>
                <w:szCs w:val="21"/>
                <w:shd w:val="clear" w:color="auto" w:fill="FFFFFF"/>
                <w:lang w:bidi="ar"/>
              </w:rPr>
              <w:t>10.参与市场调研的单位必须具有在效期内的《食品经营许可证》或《餐饮服务许可证》（提供证书扫描件）。</w:t>
            </w:r>
          </w:p>
          <w:p w14:paraId="18071BC6">
            <w:pPr>
              <w:widowControl/>
              <w:shd w:val="clear" w:color="auto" w:fill="FFFFFF"/>
              <w:spacing w:line="240" w:lineRule="auto"/>
              <w:ind w:firstLine="480"/>
              <w:jc w:val="left"/>
              <w:rPr>
                <w:color w:val="4E4E4E"/>
                <w:kern w:val="0"/>
                <w:sz w:val="21"/>
                <w:szCs w:val="21"/>
                <w:shd w:val="clear" w:color="auto" w:fill="FFFFFF"/>
                <w:lang w:bidi="ar"/>
              </w:rPr>
            </w:pPr>
            <w:r>
              <w:rPr>
                <w:rFonts w:hint="eastAsia"/>
                <w:color w:val="4E4E4E"/>
                <w:kern w:val="0"/>
                <w:sz w:val="21"/>
                <w:szCs w:val="21"/>
                <w:shd w:val="clear" w:color="auto" w:fill="FFFFFF"/>
                <w:lang w:bidi="ar"/>
              </w:rPr>
              <w:t>11.信用证明：提供“信用中国（www.creditchina.gov.cn)”中“信用服务”栏的“重大税收违法案件当事人名单”“失信被执行人”和“深圳市政府采购监管网（http://zfcg.sz.gov.cn//cgjg/cxda/index.html)”无失信记录查询截图；并且近三年无食品安全事故及重大违法违规记录（由供应商在承诺函中作出声明</w:t>
            </w:r>
            <w:r>
              <w:rPr>
                <w:rFonts w:hint="eastAsia"/>
                <w:color w:val="4E4E4E"/>
                <w:kern w:val="0"/>
                <w:sz w:val="21"/>
                <w:szCs w:val="21"/>
                <w:shd w:val="clear" w:color="auto" w:fill="FFFFFF"/>
                <w:lang w:eastAsia="zh-CN" w:bidi="ar"/>
              </w:rPr>
              <w:t>，</w:t>
            </w:r>
            <w:r>
              <w:rPr>
                <w:rFonts w:hint="eastAsia"/>
                <w:color w:val="4E4E4E"/>
                <w:kern w:val="0"/>
                <w:sz w:val="21"/>
                <w:szCs w:val="21"/>
                <w:shd w:val="clear" w:color="auto" w:fill="FFFFFF"/>
                <w:lang w:val="en-US" w:eastAsia="zh-CN" w:bidi="ar"/>
              </w:rPr>
              <w:t>格式自拟</w:t>
            </w:r>
            <w:r>
              <w:rPr>
                <w:rFonts w:hint="eastAsia"/>
                <w:color w:val="4E4E4E"/>
                <w:kern w:val="0"/>
                <w:sz w:val="21"/>
                <w:szCs w:val="21"/>
                <w:shd w:val="clear" w:color="auto" w:fill="FFFFFF"/>
                <w:lang w:bidi="ar"/>
              </w:rPr>
              <w:t>）。</w:t>
            </w:r>
          </w:p>
          <w:p w14:paraId="13263038">
            <w:pPr>
              <w:widowControl/>
              <w:shd w:val="clear" w:color="auto" w:fill="FFFFFF"/>
              <w:spacing w:line="240" w:lineRule="auto"/>
              <w:ind w:firstLine="480"/>
              <w:jc w:val="left"/>
              <w:rPr>
                <w:rFonts w:hint="default" w:eastAsia="宋体"/>
                <w:color w:val="4E4E4E"/>
                <w:kern w:val="0"/>
                <w:sz w:val="21"/>
                <w:szCs w:val="21"/>
                <w:shd w:val="clear" w:color="auto" w:fill="FFFFFF"/>
                <w:lang w:val="en-US" w:eastAsia="zh-CN" w:bidi="ar"/>
              </w:rPr>
            </w:pPr>
            <w:r>
              <w:rPr>
                <w:rFonts w:hint="eastAsia"/>
                <w:color w:val="4E4E4E"/>
                <w:kern w:val="0"/>
                <w:sz w:val="21"/>
                <w:szCs w:val="21"/>
                <w:shd w:val="clear" w:color="auto" w:fill="FFFFFF"/>
                <w:lang w:val="en-US" w:eastAsia="zh-CN" w:bidi="ar"/>
              </w:rPr>
              <w:t>12.本项目是否专门面向中小企业采购：否。</w:t>
            </w:r>
          </w:p>
        </w:tc>
      </w:tr>
      <w:tr w14:paraId="1A93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93" w:hRule="atLeast"/>
        </w:trPr>
        <w:tc>
          <w:tcPr>
            <w:tcW w:w="782" w:type="dxa"/>
            <w:shd w:val="clear" w:color="auto" w:fill="auto"/>
            <w:tcMar>
              <w:top w:w="120" w:type="dxa"/>
              <w:left w:w="120" w:type="dxa"/>
              <w:bottom w:w="120" w:type="dxa"/>
              <w:right w:w="120" w:type="dxa"/>
            </w:tcMar>
            <w:vAlign w:val="center"/>
          </w:tcPr>
          <w:p w14:paraId="7E406A8C">
            <w:pPr>
              <w:widowControl/>
              <w:spacing w:line="240" w:lineRule="auto"/>
              <w:jc w:val="left"/>
              <w:rPr>
                <w:sz w:val="21"/>
                <w:szCs w:val="21"/>
              </w:rPr>
            </w:pPr>
            <w:r>
              <w:rPr>
                <w:rFonts w:hint="eastAsia"/>
                <w:kern w:val="0"/>
                <w:sz w:val="21"/>
                <w:szCs w:val="21"/>
                <w:lang w:bidi="ar"/>
              </w:rPr>
              <w:t>服务需求</w:t>
            </w:r>
          </w:p>
        </w:tc>
        <w:tc>
          <w:tcPr>
            <w:tcW w:w="8134" w:type="dxa"/>
            <w:gridSpan w:val="3"/>
            <w:shd w:val="clear" w:color="auto" w:fill="auto"/>
            <w:tcMar>
              <w:top w:w="120" w:type="dxa"/>
              <w:left w:w="120" w:type="dxa"/>
              <w:bottom w:w="120" w:type="dxa"/>
              <w:right w:w="120" w:type="dxa"/>
            </w:tcMar>
            <w:vAlign w:val="center"/>
          </w:tcPr>
          <w:p w14:paraId="53E92E1F">
            <w:pPr>
              <w:spacing w:line="240" w:lineRule="auto"/>
              <w:rPr>
                <w:sz w:val="21"/>
                <w:szCs w:val="21"/>
              </w:rPr>
            </w:pPr>
            <w:r>
              <w:rPr>
                <w:rFonts w:hint="eastAsia"/>
                <w:sz w:val="21"/>
                <w:szCs w:val="21"/>
              </w:rPr>
              <w:t>（一）服务内容</w:t>
            </w:r>
          </w:p>
          <w:p w14:paraId="47F6502D">
            <w:pPr>
              <w:numPr>
                <w:ilvl w:val="1"/>
                <w:numId w:val="1"/>
              </w:numPr>
              <w:spacing w:line="240" w:lineRule="auto"/>
              <w:rPr>
                <w:sz w:val="21"/>
                <w:szCs w:val="21"/>
              </w:rPr>
            </w:pPr>
            <w:r>
              <w:rPr>
                <w:rFonts w:hint="eastAsia"/>
                <w:sz w:val="21"/>
                <w:szCs w:val="21"/>
              </w:rPr>
              <w:t>服务对象：采购方许可就餐的人员。包括但不限于医院职工、学生、与医院合作的第三方人员；</w:t>
            </w:r>
          </w:p>
          <w:p w14:paraId="20DEEB33">
            <w:pPr>
              <w:numPr>
                <w:ilvl w:val="1"/>
                <w:numId w:val="1"/>
              </w:numPr>
              <w:spacing w:line="240" w:lineRule="auto"/>
              <w:rPr>
                <w:sz w:val="21"/>
                <w:szCs w:val="21"/>
              </w:rPr>
            </w:pPr>
            <w:r>
              <w:rPr>
                <w:rFonts w:hint="eastAsia"/>
                <w:sz w:val="21"/>
                <w:szCs w:val="21"/>
              </w:rPr>
              <w:t>服务项目：医院职工早餐、午餐、晚餐、工作餐、与医院合作的第三方人员就餐，如遇特殊情况需进行特别保障的（如公务或会议用餐、节假日供餐、提前或延后开饭等有关情形），中标人需无条件执行保障任务。</w:t>
            </w:r>
          </w:p>
          <w:p w14:paraId="22FB651A">
            <w:pPr>
              <w:numPr>
                <w:ilvl w:val="1"/>
                <w:numId w:val="1"/>
              </w:numPr>
              <w:spacing w:line="240" w:lineRule="auto"/>
              <w:rPr>
                <w:sz w:val="21"/>
                <w:szCs w:val="21"/>
              </w:rPr>
            </w:pPr>
            <w:r>
              <w:rPr>
                <w:rFonts w:hint="eastAsia"/>
                <w:sz w:val="21"/>
                <w:szCs w:val="21"/>
              </w:rPr>
              <w:t>服务餐次：早餐、午餐、晚餐；</w:t>
            </w:r>
          </w:p>
          <w:p w14:paraId="4CD3D17B">
            <w:pPr>
              <w:numPr>
                <w:ilvl w:val="1"/>
                <w:numId w:val="1"/>
              </w:numPr>
              <w:spacing w:line="240" w:lineRule="auto"/>
              <w:rPr>
                <w:sz w:val="21"/>
                <w:szCs w:val="21"/>
              </w:rPr>
            </w:pPr>
            <w:r>
              <w:rPr>
                <w:rFonts w:hint="eastAsia"/>
                <w:sz w:val="21"/>
                <w:szCs w:val="21"/>
              </w:rPr>
              <w:t>服务时间：365天全年无休。</w:t>
            </w:r>
          </w:p>
          <w:p w14:paraId="3141BC32">
            <w:pPr>
              <w:numPr>
                <w:ilvl w:val="1"/>
                <w:numId w:val="1"/>
              </w:numPr>
              <w:spacing w:line="240" w:lineRule="auto"/>
              <w:rPr>
                <w:sz w:val="21"/>
                <w:szCs w:val="21"/>
              </w:rPr>
            </w:pPr>
            <w:r>
              <w:rPr>
                <w:rFonts w:hint="eastAsia"/>
                <w:sz w:val="21"/>
                <w:szCs w:val="21"/>
              </w:rPr>
              <w:t>堂食供餐时间：早餐7:30-8:30，午餐11:30-13:30，晚餐17:30-19:00</w:t>
            </w:r>
          </w:p>
          <w:p w14:paraId="5EFED76D">
            <w:pPr>
              <w:numPr>
                <w:ilvl w:val="1"/>
                <w:numId w:val="1"/>
              </w:numPr>
              <w:spacing w:line="240" w:lineRule="auto"/>
              <w:rPr>
                <w:color w:val="000000"/>
                <w:sz w:val="21"/>
                <w:szCs w:val="21"/>
              </w:rPr>
            </w:pPr>
            <w:r>
              <w:rPr>
                <w:rFonts w:hint="eastAsia"/>
                <w:sz w:val="21"/>
                <w:szCs w:val="21"/>
              </w:rPr>
              <w:t>中标人负责本项目餐厅的日常事务管理，须结合采购人工作实际需求，自主聘</w:t>
            </w:r>
          </w:p>
          <w:p w14:paraId="0C96BDED">
            <w:pPr>
              <w:spacing w:line="240" w:lineRule="auto"/>
              <w:rPr>
                <w:color w:val="000000"/>
                <w:sz w:val="21"/>
                <w:szCs w:val="21"/>
              </w:rPr>
            </w:pPr>
            <w:r>
              <w:rPr>
                <w:rFonts w:hint="eastAsia"/>
                <w:sz w:val="21"/>
                <w:szCs w:val="21"/>
              </w:rPr>
              <w:t>用或调整工作人员，以保证采购人供餐服务的正常开展。中标人每月计划食材采购数量提供给采购方，并且制作食材验收台账，按期递交给采购人审核。采购人不定期抽查食材验收情况。中标方应按照食品安全规定每餐留样备查。餐厅的运营管理，委托给中标人，中标人派驻团队到现场管理，负责餐厅的食品加工、烹饪、清洁卫生及其他服务工作。</w:t>
            </w:r>
          </w:p>
          <w:p w14:paraId="4C9780A6">
            <w:pPr>
              <w:numPr>
                <w:ilvl w:val="1"/>
                <w:numId w:val="1"/>
              </w:numPr>
              <w:spacing w:line="240" w:lineRule="auto"/>
              <w:rPr>
                <w:color w:val="000000"/>
                <w:sz w:val="21"/>
                <w:szCs w:val="21"/>
              </w:rPr>
            </w:pPr>
            <w:r>
              <w:rPr>
                <w:rFonts w:hint="eastAsia"/>
                <w:color w:val="000000"/>
                <w:sz w:val="21"/>
                <w:szCs w:val="21"/>
              </w:rPr>
              <w:t>按照国家的法律法规，负责从</w:t>
            </w:r>
            <w:bookmarkStart w:id="1" w:name="_GoBack"/>
            <w:bookmarkEnd w:id="1"/>
            <w:r>
              <w:rPr>
                <w:rFonts w:hint="eastAsia"/>
                <w:color w:val="000000"/>
                <w:sz w:val="21"/>
                <w:szCs w:val="21"/>
              </w:rPr>
              <w:t>业人员的聘用、培训（符合从事饮食业要求）、</w:t>
            </w:r>
          </w:p>
          <w:p w14:paraId="41EF216F">
            <w:pPr>
              <w:spacing w:line="240" w:lineRule="auto"/>
              <w:rPr>
                <w:color w:val="000000"/>
                <w:sz w:val="21"/>
                <w:szCs w:val="21"/>
              </w:rPr>
            </w:pPr>
            <w:r>
              <w:rPr>
                <w:rFonts w:hint="eastAsia"/>
                <w:color w:val="000000"/>
                <w:sz w:val="21"/>
                <w:szCs w:val="21"/>
              </w:rPr>
              <w:t>管理和工资社保待遇等所有人员费用。</w:t>
            </w:r>
          </w:p>
          <w:p w14:paraId="7A0D2D02">
            <w:pPr>
              <w:numPr>
                <w:ilvl w:val="1"/>
                <w:numId w:val="1"/>
              </w:numPr>
              <w:spacing w:line="240" w:lineRule="auto"/>
              <w:rPr>
                <w:color w:val="000000"/>
                <w:sz w:val="21"/>
                <w:szCs w:val="21"/>
              </w:rPr>
            </w:pPr>
            <w:r>
              <w:rPr>
                <w:rFonts w:hint="eastAsia"/>
                <w:color w:val="000000"/>
                <w:sz w:val="21"/>
                <w:szCs w:val="21"/>
              </w:rPr>
              <w:t>对服务范围内因人为操作失误引起的安全事故由中标人负全责。</w:t>
            </w:r>
          </w:p>
          <w:p w14:paraId="2FD174BE">
            <w:pPr>
              <w:numPr>
                <w:ilvl w:val="1"/>
                <w:numId w:val="1"/>
              </w:numPr>
              <w:spacing w:line="240" w:lineRule="auto"/>
              <w:rPr>
                <w:color w:val="000000"/>
                <w:sz w:val="21"/>
                <w:szCs w:val="21"/>
              </w:rPr>
            </w:pPr>
            <w:r>
              <w:rPr>
                <w:rFonts w:hint="eastAsia"/>
                <w:color w:val="000000"/>
                <w:sz w:val="21"/>
                <w:szCs w:val="21"/>
              </w:rPr>
              <w:t>定价模式：医院职工：早餐刷卡3元/人，中餐刷卡7元/人；晚餐自主定价。</w:t>
            </w:r>
          </w:p>
          <w:p w14:paraId="54228711">
            <w:pPr>
              <w:spacing w:line="240" w:lineRule="auto"/>
              <w:rPr>
                <w:color w:val="000000"/>
                <w:sz w:val="21"/>
                <w:szCs w:val="21"/>
              </w:rPr>
            </w:pPr>
            <w:r>
              <w:rPr>
                <w:rFonts w:hint="eastAsia"/>
                <w:color w:val="000000"/>
                <w:sz w:val="21"/>
                <w:szCs w:val="21"/>
              </w:rPr>
              <w:t>中标人需保障医院职工用餐需求，自主定价需事前向采购方报备，经批准后由中标人根据实际需求与医院职工刷卡结算，供应商需配合采购人做好刷卡设备的日常使用管理，确保刷卡系统正常运行。</w:t>
            </w:r>
          </w:p>
          <w:p w14:paraId="1685DAC3">
            <w:pPr>
              <w:spacing w:line="240" w:lineRule="auto"/>
              <w:ind w:firstLine="420" w:firstLineChars="200"/>
              <w:rPr>
                <w:color w:val="000000"/>
                <w:sz w:val="21"/>
                <w:szCs w:val="21"/>
              </w:rPr>
            </w:pPr>
            <w:r>
              <w:rPr>
                <w:rFonts w:hint="eastAsia"/>
                <w:color w:val="000000"/>
                <w:sz w:val="21"/>
                <w:szCs w:val="21"/>
              </w:rPr>
              <w:t>设备管理：刷卡终端设备由采购人提供并维护，供应商负责日常使用中的保管与规范操作，如因使用不当造成设备损坏，须承担相应责任。</w:t>
            </w:r>
          </w:p>
          <w:p w14:paraId="2F37C936">
            <w:pPr>
              <w:numPr>
                <w:ilvl w:val="1"/>
                <w:numId w:val="1"/>
              </w:numPr>
              <w:spacing w:line="240" w:lineRule="auto"/>
              <w:rPr>
                <w:sz w:val="21"/>
                <w:szCs w:val="21"/>
              </w:rPr>
            </w:pPr>
            <w:r>
              <w:rPr>
                <w:rFonts w:hint="eastAsia"/>
                <w:color w:val="000000"/>
                <w:sz w:val="21"/>
                <w:szCs w:val="21"/>
              </w:rPr>
              <w:t>出品搭配模式：每人每日餐食标准不低于40元，早餐搭配为主食、副食、</w:t>
            </w:r>
          </w:p>
          <w:p w14:paraId="3284D0FB">
            <w:pPr>
              <w:spacing w:line="240" w:lineRule="auto"/>
              <w:rPr>
                <w:sz w:val="21"/>
                <w:szCs w:val="21"/>
              </w:rPr>
            </w:pPr>
            <w:r>
              <w:rPr>
                <w:rFonts w:hint="eastAsia"/>
                <w:color w:val="000000"/>
                <w:sz w:val="21"/>
                <w:szCs w:val="21"/>
              </w:rPr>
              <w:t>蛋奶，中标人应准备准备不少于6-8种主食供选，采购人员工分别自助选取。午餐搭配为主荤、副荤、青菜、例汤、主食搭配；中标人应准备3种主荤、3种副荤、1种青菜、1种粗粮、1种例汤、水果至少2种供采购人职工自助。</w:t>
            </w:r>
          </w:p>
          <w:p w14:paraId="21F1DC6B">
            <w:pPr>
              <w:numPr>
                <w:ilvl w:val="1"/>
                <w:numId w:val="1"/>
              </w:numPr>
              <w:spacing w:line="240" w:lineRule="auto"/>
              <w:rPr>
                <w:color w:val="000000"/>
                <w:sz w:val="21"/>
                <w:szCs w:val="21"/>
              </w:rPr>
            </w:pPr>
            <w:r>
              <w:rPr>
                <w:rFonts w:hint="eastAsia"/>
                <w:color w:val="000000"/>
                <w:sz w:val="21"/>
                <w:szCs w:val="21"/>
              </w:rPr>
              <w:t>晚餐搭配自行规定，但价格不得高于市面价。</w:t>
            </w:r>
          </w:p>
          <w:p w14:paraId="18B979FE">
            <w:pPr>
              <w:numPr>
                <w:ilvl w:val="1"/>
                <w:numId w:val="1"/>
              </w:numPr>
              <w:spacing w:line="240" w:lineRule="auto"/>
              <w:rPr>
                <w:color w:val="000000"/>
                <w:sz w:val="21"/>
                <w:szCs w:val="21"/>
              </w:rPr>
            </w:pPr>
            <w:r>
              <w:rPr>
                <w:rFonts w:hint="eastAsia"/>
                <w:color w:val="000000"/>
                <w:sz w:val="21"/>
                <w:szCs w:val="21"/>
              </w:rPr>
              <w:t>中标人购置刷卡设备及为采购人职工办理饭卡，费用由中标人承担，应采</w:t>
            </w:r>
          </w:p>
          <w:p w14:paraId="6239AC61">
            <w:pPr>
              <w:spacing w:line="240" w:lineRule="auto"/>
              <w:rPr>
                <w:color w:val="000000"/>
                <w:sz w:val="21"/>
                <w:szCs w:val="21"/>
              </w:rPr>
            </w:pPr>
            <w:r>
              <w:rPr>
                <w:rFonts w:hint="eastAsia"/>
                <w:color w:val="000000"/>
                <w:sz w:val="21"/>
                <w:szCs w:val="21"/>
              </w:rPr>
              <w:t>购人职工丢失饭卡补卡的情况，补卡费用不得高于10元。</w:t>
            </w:r>
          </w:p>
          <w:p w14:paraId="270BB55C">
            <w:pPr>
              <w:numPr>
                <w:ilvl w:val="1"/>
                <w:numId w:val="1"/>
              </w:numPr>
              <w:spacing w:line="240" w:lineRule="auto"/>
              <w:rPr>
                <w:color w:val="000000"/>
                <w:sz w:val="21"/>
                <w:szCs w:val="21"/>
              </w:rPr>
            </w:pPr>
            <w:r>
              <w:rPr>
                <w:rFonts w:hint="eastAsia"/>
                <w:color w:val="000000"/>
                <w:sz w:val="21"/>
                <w:szCs w:val="21"/>
              </w:rPr>
              <w:t>中标人因结合近期就餐人数规律，合理的进行第二天各餐次的食材采购计</w:t>
            </w:r>
          </w:p>
          <w:p w14:paraId="1E403CFE">
            <w:pPr>
              <w:spacing w:line="240" w:lineRule="auto"/>
              <w:rPr>
                <w:color w:val="000000"/>
                <w:sz w:val="21"/>
                <w:szCs w:val="21"/>
              </w:rPr>
            </w:pPr>
            <w:r>
              <w:rPr>
                <w:rFonts w:hint="eastAsia"/>
                <w:color w:val="000000"/>
                <w:sz w:val="21"/>
                <w:szCs w:val="21"/>
              </w:rPr>
              <w:t>划、出品生产等工作，应尽可能保障采购人职工的用餐需求。</w:t>
            </w:r>
          </w:p>
          <w:p w14:paraId="32475E06">
            <w:pPr>
              <w:numPr>
                <w:ilvl w:val="1"/>
                <w:numId w:val="1"/>
              </w:numPr>
              <w:spacing w:line="240" w:lineRule="auto"/>
              <w:rPr>
                <w:color w:val="000000"/>
                <w:sz w:val="21"/>
                <w:szCs w:val="21"/>
              </w:rPr>
            </w:pPr>
            <w:r>
              <w:rPr>
                <w:rFonts w:hint="eastAsia"/>
                <w:color w:val="000000"/>
                <w:sz w:val="21"/>
                <w:szCs w:val="21"/>
              </w:rPr>
              <w:t>以下费用由中标人承担：</w:t>
            </w:r>
          </w:p>
          <w:p w14:paraId="269E3999">
            <w:pPr>
              <w:adjustRightInd w:val="0"/>
              <w:snapToGrid w:val="0"/>
              <w:spacing w:line="240" w:lineRule="auto"/>
              <w:ind w:firstLine="420" w:firstLineChars="200"/>
              <w:rPr>
                <w:color w:val="000000"/>
                <w:sz w:val="21"/>
                <w:szCs w:val="21"/>
              </w:rPr>
            </w:pPr>
            <w:r>
              <w:rPr>
                <w:rFonts w:hint="eastAsia"/>
                <w:color w:val="000000"/>
                <w:sz w:val="21"/>
                <w:szCs w:val="21"/>
              </w:rPr>
              <w:t>（1）一次性餐盒、机用清洗液、洗洁精、清洁用品、保鲜膜（袋）、纸杯、纸巾、牙签等。</w:t>
            </w:r>
          </w:p>
          <w:p w14:paraId="5488864A">
            <w:pPr>
              <w:adjustRightInd w:val="0"/>
              <w:snapToGrid w:val="0"/>
              <w:spacing w:line="240" w:lineRule="auto"/>
              <w:ind w:firstLine="420" w:firstLineChars="200"/>
              <w:rPr>
                <w:color w:val="000000"/>
                <w:sz w:val="21"/>
                <w:szCs w:val="21"/>
              </w:rPr>
            </w:pPr>
            <w:r>
              <w:rPr>
                <w:rFonts w:hint="eastAsia"/>
                <w:color w:val="000000"/>
                <w:sz w:val="21"/>
                <w:szCs w:val="21"/>
              </w:rPr>
              <w:t>（2）中标人派至现场的工作人员薪酬、奖金、福利、社会保险等费用。</w:t>
            </w:r>
          </w:p>
          <w:p w14:paraId="41135362">
            <w:pPr>
              <w:adjustRightInd w:val="0"/>
              <w:snapToGrid w:val="0"/>
              <w:spacing w:line="240" w:lineRule="auto"/>
              <w:ind w:firstLine="420" w:firstLineChars="200"/>
              <w:rPr>
                <w:color w:val="000000"/>
                <w:sz w:val="21"/>
                <w:szCs w:val="21"/>
              </w:rPr>
            </w:pPr>
            <w:r>
              <w:rPr>
                <w:rFonts w:hint="eastAsia"/>
                <w:color w:val="000000"/>
                <w:sz w:val="21"/>
                <w:szCs w:val="21"/>
              </w:rPr>
              <w:t>（3）餐厅运营所需的办公用品支出（如办公电脑、路由器、打印机、墨盒、打印开餐单、复印菜单、宣传所需的软硬件设施）等。</w:t>
            </w:r>
          </w:p>
          <w:p w14:paraId="491DB62B">
            <w:pPr>
              <w:adjustRightInd w:val="0"/>
              <w:snapToGrid w:val="0"/>
              <w:spacing w:line="240" w:lineRule="auto"/>
              <w:ind w:firstLine="420" w:firstLineChars="200"/>
              <w:rPr>
                <w:color w:val="000000"/>
                <w:sz w:val="21"/>
                <w:szCs w:val="21"/>
              </w:rPr>
            </w:pPr>
            <w:r>
              <w:rPr>
                <w:rFonts w:hint="eastAsia"/>
                <w:color w:val="000000"/>
                <w:sz w:val="21"/>
                <w:szCs w:val="21"/>
              </w:rPr>
              <w:t>（4）厨具、抽排、监控、洗消、照明、空调等设备500元（含）以下维修费。</w:t>
            </w:r>
          </w:p>
          <w:p w14:paraId="69D6F561">
            <w:pPr>
              <w:adjustRightInd w:val="0"/>
              <w:snapToGrid w:val="0"/>
              <w:spacing w:line="240" w:lineRule="auto"/>
              <w:ind w:firstLine="420" w:firstLineChars="200"/>
              <w:rPr>
                <w:color w:val="000000"/>
                <w:sz w:val="21"/>
                <w:szCs w:val="21"/>
              </w:rPr>
            </w:pPr>
            <w:r>
              <w:rPr>
                <w:rFonts w:hint="eastAsia"/>
                <w:color w:val="000000"/>
                <w:sz w:val="21"/>
                <w:szCs w:val="21"/>
              </w:rPr>
              <w:t>（5）食堂改造及必要的后厨设备设施。</w:t>
            </w:r>
          </w:p>
          <w:p w14:paraId="18A4A043">
            <w:pPr>
              <w:numPr>
                <w:ilvl w:val="1"/>
                <w:numId w:val="1"/>
              </w:numPr>
              <w:adjustRightInd w:val="0"/>
              <w:snapToGrid w:val="0"/>
              <w:spacing w:line="240" w:lineRule="auto"/>
              <w:rPr>
                <w:color w:val="000000"/>
                <w:sz w:val="21"/>
                <w:szCs w:val="21"/>
              </w:rPr>
            </w:pPr>
            <w:r>
              <w:rPr>
                <w:rFonts w:hint="eastAsia"/>
                <w:color w:val="000000"/>
                <w:sz w:val="21"/>
                <w:szCs w:val="21"/>
              </w:rPr>
              <w:t>以下费用由采购人承担：</w:t>
            </w:r>
          </w:p>
          <w:p w14:paraId="3A961AB6">
            <w:pPr>
              <w:adjustRightInd w:val="0"/>
              <w:snapToGrid w:val="0"/>
              <w:spacing w:line="240" w:lineRule="auto"/>
              <w:ind w:firstLine="420" w:firstLineChars="200"/>
              <w:rPr>
                <w:color w:val="000000"/>
                <w:sz w:val="21"/>
                <w:szCs w:val="21"/>
              </w:rPr>
            </w:pPr>
            <w:r>
              <w:rPr>
                <w:rFonts w:hint="eastAsia"/>
                <w:color w:val="000000"/>
                <w:sz w:val="21"/>
                <w:szCs w:val="21"/>
              </w:rPr>
              <w:t>（1）采购人提供餐厅场地和厨房设备、餐具等基础硬件设施，并承担食品原材料采购、水电费用、燃料费用和硬件设施维修费用，如有不足或厨杂损耗的更换补充，由中标人负责补充。</w:t>
            </w:r>
          </w:p>
          <w:p w14:paraId="57F8186B">
            <w:pPr>
              <w:adjustRightInd w:val="0"/>
              <w:snapToGrid w:val="0"/>
              <w:spacing w:line="240" w:lineRule="auto"/>
              <w:ind w:firstLine="420" w:firstLineChars="200"/>
              <w:rPr>
                <w:color w:val="000000"/>
                <w:sz w:val="21"/>
                <w:szCs w:val="21"/>
              </w:rPr>
            </w:pPr>
            <w:r>
              <w:rPr>
                <w:rFonts w:hint="eastAsia"/>
                <w:color w:val="000000"/>
                <w:sz w:val="21"/>
                <w:szCs w:val="21"/>
              </w:rPr>
              <w:t>（2）中标人经营中产生的水、电、燃气费用。（使用不当造成浪费或者超出上年度月均值30%，则由中标人支付当月费用）。</w:t>
            </w:r>
          </w:p>
          <w:p w14:paraId="0B4534DA">
            <w:pPr>
              <w:adjustRightInd w:val="0"/>
              <w:snapToGrid w:val="0"/>
              <w:spacing w:line="240" w:lineRule="auto"/>
              <w:rPr>
                <w:color w:val="000000"/>
                <w:sz w:val="21"/>
                <w:szCs w:val="21"/>
              </w:rPr>
            </w:pPr>
            <w:r>
              <w:rPr>
                <w:rFonts w:hint="eastAsia"/>
                <w:color w:val="000000"/>
                <w:sz w:val="21"/>
                <w:szCs w:val="21"/>
              </w:rPr>
              <w:t>12、中标人在其经营过程中，从未发生食品安全事故，本次中标之后承诺不发生食品安全事故，否则采购人有权终止合同。需在参与市场调研的单位文件中提供承诺函（格式自拟）。</w:t>
            </w:r>
          </w:p>
          <w:p w14:paraId="1FD043FF">
            <w:pPr>
              <w:adjustRightInd w:val="0"/>
              <w:snapToGrid w:val="0"/>
              <w:spacing w:line="240" w:lineRule="auto"/>
              <w:rPr>
                <w:b/>
                <w:bCs/>
                <w:color w:val="000000"/>
                <w:sz w:val="21"/>
                <w:szCs w:val="21"/>
              </w:rPr>
            </w:pPr>
            <w:r>
              <w:rPr>
                <w:rFonts w:hint="eastAsia"/>
                <w:b/>
                <w:bCs/>
                <w:color w:val="000000"/>
                <w:sz w:val="21"/>
                <w:szCs w:val="21"/>
              </w:rPr>
              <w:t>（二）人员配置和管理要求</w:t>
            </w:r>
          </w:p>
          <w:p w14:paraId="6FEF5BED">
            <w:pPr>
              <w:adjustRightInd w:val="0"/>
              <w:snapToGrid w:val="0"/>
              <w:spacing w:line="240" w:lineRule="auto"/>
              <w:ind w:left="397"/>
              <w:rPr>
                <w:b/>
                <w:color w:val="000000"/>
                <w:sz w:val="21"/>
                <w:szCs w:val="21"/>
              </w:rPr>
            </w:pPr>
            <w:r>
              <w:rPr>
                <w:rFonts w:hint="eastAsia"/>
                <w:sz w:val="21"/>
                <w:szCs w:val="21"/>
              </w:rPr>
              <w:t>2.1结合项目实际情况，现场服务餐厅后勤服务岗位每天不少于8个，其中</w:t>
            </w:r>
            <w:r>
              <w:rPr>
                <w:rFonts w:hint="eastAsia"/>
                <w:b/>
                <w:color w:val="000000"/>
                <w:sz w:val="21"/>
                <w:szCs w:val="21"/>
              </w:rPr>
              <w:t>包括项目经理1个，厨师长1个、副厨1个、早餐面点师1个、北方面点师1个、切配1个、厨工2个，保证服务质量。需</w:t>
            </w:r>
            <w:r>
              <w:rPr>
                <w:rFonts w:hint="eastAsia"/>
                <w:b/>
                <w:color w:val="000000"/>
                <w:sz w:val="21"/>
                <w:szCs w:val="21"/>
                <w:highlight w:val="yellow"/>
              </w:rPr>
              <w:t>在参与市场调研的单位文件中</w:t>
            </w:r>
            <w:r>
              <w:rPr>
                <w:rFonts w:hint="eastAsia"/>
                <w:b/>
                <w:color w:val="000000"/>
                <w:sz w:val="21"/>
                <w:szCs w:val="21"/>
              </w:rPr>
              <w:t>提供承诺函（格式自拟）。</w:t>
            </w:r>
          </w:p>
          <w:p w14:paraId="5EE8B9DA">
            <w:pPr>
              <w:adjustRightInd w:val="0"/>
              <w:snapToGrid w:val="0"/>
              <w:spacing w:line="240" w:lineRule="auto"/>
              <w:ind w:left="397"/>
              <w:rPr>
                <w:sz w:val="21"/>
                <w:szCs w:val="21"/>
              </w:rPr>
            </w:pPr>
            <w:r>
              <w:rPr>
                <w:rFonts w:hint="eastAsia"/>
                <w:b/>
                <w:color w:val="000000"/>
                <w:sz w:val="21"/>
                <w:szCs w:val="21"/>
              </w:rPr>
              <w:t>2.2</w:t>
            </w:r>
            <w:r>
              <w:rPr>
                <w:rFonts w:hint="eastAsia"/>
                <w:sz w:val="21"/>
                <w:szCs w:val="21"/>
              </w:rPr>
              <w:t>本项目由中标人直接管理，不得转包、分包、挂靠等，中标人应当为员工按照劳动法规</w:t>
            </w:r>
          </w:p>
          <w:p w14:paraId="16F9F83E">
            <w:pPr>
              <w:adjustRightInd w:val="0"/>
              <w:snapToGrid w:val="0"/>
              <w:spacing w:line="240" w:lineRule="auto"/>
              <w:rPr>
                <w:sz w:val="21"/>
                <w:szCs w:val="21"/>
              </w:rPr>
            </w:pPr>
            <w:r>
              <w:rPr>
                <w:rFonts w:hint="eastAsia"/>
                <w:sz w:val="21"/>
                <w:szCs w:val="21"/>
              </w:rPr>
              <w:t>购买相应社保及保险，按劳动法支付相应员工加班费用，采购人有权核实中标人为员工提供福利情况，如中标人未按要求购买社保或不支付员工加班费用，采购人有权直接解除合同。</w:t>
            </w:r>
          </w:p>
          <w:p w14:paraId="2D248050">
            <w:pPr>
              <w:adjustRightInd w:val="0"/>
              <w:snapToGrid w:val="0"/>
              <w:spacing w:line="240" w:lineRule="auto"/>
              <w:ind w:firstLine="420" w:firstLineChars="200"/>
              <w:rPr>
                <w:sz w:val="21"/>
                <w:szCs w:val="21"/>
              </w:rPr>
            </w:pPr>
            <w:r>
              <w:rPr>
                <w:rFonts w:hint="eastAsia"/>
                <w:sz w:val="21"/>
                <w:szCs w:val="21"/>
              </w:rPr>
              <w:t>2.3中标人按招标要求配置服务团队，项目应全职配备</w:t>
            </w:r>
            <w:bookmarkStart w:id="0" w:name="_Hlk521922478"/>
            <w:r>
              <w:rPr>
                <w:rFonts w:hint="eastAsia"/>
                <w:sz w:val="21"/>
                <w:szCs w:val="21"/>
              </w:rPr>
              <w:t>获得高级食品安全员</w:t>
            </w:r>
            <w:bookmarkEnd w:id="0"/>
            <w:r>
              <w:rPr>
                <w:rFonts w:hint="eastAsia"/>
                <w:sz w:val="21"/>
                <w:szCs w:val="21"/>
              </w:rPr>
              <w:t>证的项目经理岗位；管理层（项目经理、厨师长）应全职驻点服务，工作天数不少于法定工作天数，不得同时兼任其他项目的管理。</w:t>
            </w:r>
          </w:p>
          <w:p w14:paraId="46D48372">
            <w:pPr>
              <w:spacing w:line="240" w:lineRule="auto"/>
              <w:ind w:firstLine="420" w:firstLineChars="200"/>
              <w:rPr>
                <w:sz w:val="21"/>
                <w:szCs w:val="21"/>
              </w:rPr>
            </w:pPr>
            <w:r>
              <w:rPr>
                <w:rFonts w:hint="eastAsia"/>
                <w:sz w:val="21"/>
                <w:szCs w:val="21"/>
              </w:rPr>
              <w:t>2.4中厨师长须具备5年以上从事餐饮业服务经验及3年以上管理班组经验；应持厨师证；</w:t>
            </w:r>
          </w:p>
          <w:p w14:paraId="20267EEE">
            <w:pPr>
              <w:spacing w:line="240" w:lineRule="auto"/>
              <w:ind w:firstLine="420" w:firstLineChars="200"/>
              <w:rPr>
                <w:sz w:val="21"/>
                <w:szCs w:val="21"/>
              </w:rPr>
            </w:pPr>
            <w:r>
              <w:rPr>
                <w:rFonts w:hint="eastAsia"/>
                <w:sz w:val="21"/>
                <w:szCs w:val="21"/>
              </w:rPr>
              <w:t>2.5项目经理应爱国爱党、爱岗敬业、勤劳上进、服从指挥，熟悉Windows系统与Office办公软件、具备一定文笔功底、有较好的形象。项目经理须具备5年以上从事餐饮业服务经验及3年以上项目管理经验。</w:t>
            </w:r>
          </w:p>
          <w:p w14:paraId="2C8FA92D">
            <w:pPr>
              <w:pStyle w:val="12"/>
              <w:widowControl/>
              <w:spacing w:line="240" w:lineRule="auto"/>
              <w:ind w:firstLine="422" w:firstLineChars="200"/>
              <w:rPr>
                <w:sz w:val="21"/>
                <w:szCs w:val="21"/>
              </w:rPr>
            </w:pPr>
            <w:r>
              <w:rPr>
                <w:rFonts w:hint="eastAsia"/>
                <w:b/>
                <w:bCs/>
                <w:color w:val="0F1115"/>
                <w:sz w:val="21"/>
                <w:szCs w:val="21"/>
                <w:shd w:val="clear" w:color="auto" w:fill="FFFFFF"/>
              </w:rPr>
              <w:t>2.6健康与卫生</w:t>
            </w:r>
            <w:r>
              <w:rPr>
                <w:rFonts w:hint="eastAsia"/>
                <w:color w:val="0F1115"/>
                <w:sz w:val="21"/>
                <w:szCs w:val="21"/>
                <w:shd w:val="clear" w:color="auto" w:fill="FFFFFF"/>
              </w:rPr>
              <w:t>：全员须持有效餐饮健康证上岗，每年体检一次；病人配餐员要求形象好、能熟练运用服务用语。患有碍食品卫生疾病者不得从事接触食品工作。</w:t>
            </w:r>
          </w:p>
          <w:p w14:paraId="4CFCE179">
            <w:pPr>
              <w:pStyle w:val="12"/>
              <w:widowControl/>
              <w:spacing w:line="240" w:lineRule="auto"/>
              <w:ind w:firstLine="422" w:firstLineChars="200"/>
              <w:rPr>
                <w:sz w:val="21"/>
                <w:szCs w:val="21"/>
              </w:rPr>
            </w:pPr>
            <w:r>
              <w:rPr>
                <w:rFonts w:hint="eastAsia"/>
                <w:b/>
                <w:bCs/>
                <w:color w:val="0F1115"/>
                <w:sz w:val="21"/>
                <w:szCs w:val="21"/>
                <w:shd w:val="clear" w:color="auto" w:fill="FFFFFF"/>
              </w:rPr>
              <w:t>2.7着装规范</w:t>
            </w:r>
            <w:r>
              <w:rPr>
                <w:rFonts w:hint="eastAsia"/>
                <w:color w:val="0F1115"/>
                <w:sz w:val="21"/>
                <w:szCs w:val="21"/>
                <w:shd w:val="clear" w:color="auto" w:fill="FFFFFF"/>
              </w:rPr>
              <w:t>：工作服款式须经采购人同意，春夏、秋冬各不少于2套。上岗须统一着装、佩戴工牌，根据需要戴清洁帽、口罩、手套，穿防滑鞋，保持整洁；禁止佩戴首饰、留长指甲。</w:t>
            </w:r>
          </w:p>
          <w:p w14:paraId="416027A9">
            <w:pPr>
              <w:pStyle w:val="12"/>
              <w:widowControl/>
              <w:spacing w:after="120" w:line="240" w:lineRule="auto"/>
              <w:ind w:firstLine="422" w:firstLineChars="200"/>
              <w:rPr>
                <w:color w:val="0F1115"/>
                <w:sz w:val="21"/>
                <w:szCs w:val="21"/>
                <w:shd w:val="clear" w:color="auto" w:fill="FFFFFF"/>
              </w:rPr>
            </w:pPr>
            <w:r>
              <w:rPr>
                <w:rFonts w:hint="eastAsia"/>
                <w:b/>
                <w:bCs/>
                <w:color w:val="0F1115"/>
                <w:sz w:val="21"/>
                <w:szCs w:val="21"/>
                <w:shd w:val="clear" w:color="auto" w:fill="FFFFFF"/>
              </w:rPr>
              <w:t>2.8培训要求</w:t>
            </w:r>
            <w:r>
              <w:rPr>
                <w:rFonts w:hint="eastAsia"/>
                <w:color w:val="0F1115"/>
                <w:sz w:val="21"/>
                <w:szCs w:val="21"/>
                <w:shd w:val="clear" w:color="auto" w:fill="FFFFFF"/>
              </w:rPr>
              <w:t>：员工上岗前须经岗前培训，合格后方可上岗。每3个月至少组织1次全员培训，每年对关键岗位进行不少于4次专项培训（包含不限于食品安全、安全生产、服务质量等），均需有书面记录及确认资料。</w:t>
            </w:r>
          </w:p>
          <w:p w14:paraId="015D1139">
            <w:pPr>
              <w:pStyle w:val="12"/>
              <w:widowControl/>
              <w:spacing w:after="120" w:line="240" w:lineRule="auto"/>
              <w:ind w:firstLine="420" w:firstLineChars="200"/>
              <w:rPr>
                <w:sz w:val="21"/>
                <w:szCs w:val="21"/>
              </w:rPr>
            </w:pPr>
            <w:r>
              <w:rPr>
                <w:rFonts w:hint="eastAsia"/>
                <w:color w:val="0F1115"/>
                <w:sz w:val="21"/>
                <w:szCs w:val="21"/>
                <w:shd w:val="clear" w:color="auto" w:fill="FFFFFF"/>
              </w:rPr>
              <w:t>2.9</w:t>
            </w:r>
            <w:r>
              <w:rPr>
                <w:rFonts w:hint="eastAsia"/>
                <w:b/>
                <w:bCs/>
                <w:color w:val="0F1115"/>
                <w:sz w:val="21"/>
                <w:szCs w:val="21"/>
                <w:shd w:val="clear" w:color="auto" w:fill="FFFFFF"/>
              </w:rPr>
              <w:t>例会与巡查</w:t>
            </w:r>
            <w:r>
              <w:rPr>
                <w:rFonts w:hint="eastAsia"/>
                <w:color w:val="0F1115"/>
                <w:sz w:val="21"/>
                <w:szCs w:val="21"/>
                <w:shd w:val="clear" w:color="auto" w:fill="FFFFFF"/>
              </w:rPr>
              <w:t>：现场管理团队（项目负责人、厨师长等）定期召开工作例会，每周提交上周总结、问题困难、本周计划及需协调事项。管理团队定期巡查现场，每次出具书面报告。</w:t>
            </w:r>
          </w:p>
          <w:p w14:paraId="12B45B55">
            <w:pPr>
              <w:pStyle w:val="8"/>
              <w:numPr>
                <w:ilvl w:val="0"/>
                <w:numId w:val="2"/>
              </w:numPr>
              <w:spacing w:line="240" w:lineRule="auto"/>
              <w:rPr>
                <w:rFonts w:hint="default"/>
                <w:sz w:val="21"/>
                <w:szCs w:val="21"/>
              </w:rPr>
            </w:pPr>
            <w:r>
              <w:rPr>
                <w:sz w:val="21"/>
                <w:szCs w:val="21"/>
              </w:rPr>
              <w:t>供餐标准与出品质量要求</w:t>
            </w:r>
          </w:p>
          <w:p w14:paraId="32CA3EEE">
            <w:pPr>
              <w:pStyle w:val="8"/>
              <w:spacing w:line="240" w:lineRule="auto"/>
              <w:ind w:firstLine="420" w:firstLineChars="200"/>
              <w:rPr>
                <w:rFonts w:hint="default"/>
                <w:sz w:val="21"/>
                <w:szCs w:val="21"/>
              </w:rPr>
            </w:pPr>
            <w:r>
              <w:rPr>
                <w:sz w:val="21"/>
                <w:szCs w:val="21"/>
              </w:rPr>
              <w:t>3.1基本供餐结构：职工餐包括热菜、主食、汤等，需要兼顾南北方口味等八大菜系，也可适当加入创新菜，如西式料理，午餐与晚餐菜单不得重复。病号餐须流食为主，清淡可口、营养、均衡，由病人点餐后及时送至指定位置。</w:t>
            </w:r>
          </w:p>
          <w:p w14:paraId="1AF5AE7A">
            <w:pPr>
              <w:pStyle w:val="8"/>
              <w:spacing w:line="240" w:lineRule="auto"/>
              <w:ind w:firstLine="420" w:firstLineChars="200"/>
              <w:rPr>
                <w:rFonts w:hint="default"/>
                <w:sz w:val="21"/>
                <w:szCs w:val="21"/>
              </w:rPr>
            </w:pPr>
            <w:r>
              <w:rPr>
                <w:sz w:val="21"/>
                <w:szCs w:val="21"/>
              </w:rPr>
              <w:t>3.2菜单管理：每周一套菜单，周一上新，原则上每周不重样，菜式搭配应当绿色健康，需提供重口味、淡口味、蒸菜、蒸蛋、辣菜、炒菜等多种菜式供职工选择；热门主菜每周最多出现2次。每周四提交下周菜单供采购人审核；每三个月要求全部更换一次新菜单。下周菜单及采购清单应当在本周四前交采购人职能部门进行审核，新菜式应先进行试做和试尝。提交成本分析及定价标准，审核通过后方可执行。</w:t>
            </w:r>
          </w:p>
          <w:p w14:paraId="6D89F67D">
            <w:pPr>
              <w:pStyle w:val="8"/>
              <w:spacing w:line="240" w:lineRule="auto"/>
              <w:ind w:firstLine="420" w:firstLineChars="200"/>
              <w:rPr>
                <w:rFonts w:hint="default"/>
                <w:sz w:val="21"/>
                <w:szCs w:val="21"/>
              </w:rPr>
            </w:pPr>
            <w:r>
              <w:rPr>
                <w:sz w:val="21"/>
                <w:szCs w:val="21"/>
              </w:rPr>
              <w:t>3.3营养卫生与安全标准，所有出品必须符合营养、卫生、安全标准，严格执行《中华人民共和国食品安全法》及相关餐饮行业的规定，建立健全卫生管理制度，坚决杜绝食物中毒事件及食品安全事故的发生。</w:t>
            </w:r>
          </w:p>
          <w:p w14:paraId="00E6E8AA">
            <w:pPr>
              <w:pStyle w:val="8"/>
              <w:spacing w:line="240" w:lineRule="auto"/>
              <w:ind w:firstLine="420" w:firstLineChars="200"/>
              <w:rPr>
                <w:rFonts w:hint="default"/>
                <w:sz w:val="21"/>
                <w:szCs w:val="21"/>
              </w:rPr>
            </w:pPr>
            <w:r>
              <w:rPr>
                <w:sz w:val="21"/>
                <w:szCs w:val="21"/>
              </w:rPr>
              <w:t>3.4食材要求：</w:t>
            </w:r>
          </w:p>
          <w:p w14:paraId="620B5111">
            <w:pPr>
              <w:pStyle w:val="8"/>
              <w:spacing w:line="240" w:lineRule="auto"/>
              <w:ind w:firstLine="420" w:firstLineChars="200"/>
              <w:rPr>
                <w:rFonts w:hint="default"/>
                <w:sz w:val="21"/>
                <w:szCs w:val="21"/>
              </w:rPr>
            </w:pPr>
            <w:r>
              <w:rPr>
                <w:sz w:val="21"/>
                <w:szCs w:val="21"/>
              </w:rPr>
              <w:t>原则上当天所有餐次当次制作，保证新鲜口感。除个别经审批的菜品可提前1天制作（未售完且保存完好的仅可再售卖1次）外，均采用新鲜食材，尽量减少冷冻品。</w:t>
            </w:r>
          </w:p>
          <w:p w14:paraId="78A27379">
            <w:pPr>
              <w:pStyle w:val="8"/>
              <w:spacing w:line="240" w:lineRule="auto"/>
              <w:ind w:firstLine="420" w:firstLineChars="200"/>
              <w:rPr>
                <w:rFonts w:hint="default"/>
                <w:sz w:val="21"/>
                <w:szCs w:val="21"/>
              </w:rPr>
            </w:pPr>
            <w:r>
              <w:rPr>
                <w:sz w:val="21"/>
                <w:szCs w:val="21"/>
              </w:rPr>
              <w:t>3.5出品质量标准：</w:t>
            </w:r>
          </w:p>
          <w:p w14:paraId="14261307">
            <w:pPr>
              <w:pStyle w:val="8"/>
              <w:spacing w:line="240" w:lineRule="auto"/>
              <w:ind w:firstLine="420" w:firstLineChars="200"/>
              <w:rPr>
                <w:rFonts w:hint="default"/>
                <w:sz w:val="21"/>
                <w:szCs w:val="21"/>
              </w:rPr>
            </w:pPr>
            <w:r>
              <w:rPr>
                <w:sz w:val="21"/>
                <w:szCs w:val="21"/>
              </w:rPr>
              <w:t>总体要求：不糊、不夹生、不过油、不过咸、咸淡适中、软硬适当，色香味俱全，原料新鲜，无过生过熟、无异物，体现原汁原味。</w:t>
            </w:r>
          </w:p>
          <w:p w14:paraId="7D7F4CB2">
            <w:pPr>
              <w:pStyle w:val="8"/>
              <w:numPr>
                <w:ilvl w:val="0"/>
                <w:numId w:val="3"/>
              </w:numPr>
              <w:spacing w:line="240" w:lineRule="auto"/>
              <w:rPr>
                <w:rFonts w:hint="default"/>
                <w:sz w:val="21"/>
                <w:szCs w:val="21"/>
              </w:rPr>
            </w:pPr>
            <w:r>
              <w:rPr>
                <w:sz w:val="21"/>
                <w:szCs w:val="21"/>
              </w:rPr>
              <w:t>清炒菜：即熟亦脆，色青绿、口感脆爽，八成煎，芡汁薄匀包住、有亮度，杜绝出水。</w:t>
            </w:r>
          </w:p>
          <w:p w14:paraId="1D1EFEBC">
            <w:pPr>
              <w:pStyle w:val="8"/>
              <w:numPr>
                <w:ilvl w:val="0"/>
                <w:numId w:val="3"/>
              </w:numPr>
              <w:spacing w:line="240" w:lineRule="auto"/>
              <w:rPr>
                <w:rFonts w:hint="default"/>
                <w:sz w:val="21"/>
                <w:szCs w:val="21"/>
              </w:rPr>
            </w:pPr>
            <w:r>
              <w:rPr>
                <w:sz w:val="21"/>
                <w:szCs w:val="21"/>
              </w:rPr>
              <w:t>白灼菜：口味鲜咸，白灼汁适量，浇油热而少，菜品整齐美观。</w:t>
            </w:r>
          </w:p>
          <w:p w14:paraId="0CAAF177">
            <w:pPr>
              <w:pStyle w:val="8"/>
              <w:numPr>
                <w:ilvl w:val="0"/>
                <w:numId w:val="3"/>
              </w:numPr>
              <w:spacing w:line="240" w:lineRule="auto"/>
              <w:rPr>
                <w:rFonts w:hint="default"/>
                <w:sz w:val="21"/>
                <w:szCs w:val="21"/>
              </w:rPr>
            </w:pPr>
            <w:r>
              <w:rPr>
                <w:sz w:val="21"/>
                <w:szCs w:val="21"/>
              </w:rPr>
              <w:t>上汤菜：口味清鲜，汤汁乳白，原料2/3浸入汤中，无浮油。</w:t>
            </w:r>
          </w:p>
          <w:p w14:paraId="4BE9AE79">
            <w:pPr>
              <w:pStyle w:val="8"/>
              <w:numPr>
                <w:ilvl w:val="0"/>
                <w:numId w:val="3"/>
              </w:numPr>
              <w:spacing w:line="240" w:lineRule="auto"/>
              <w:rPr>
                <w:rFonts w:hint="default"/>
                <w:sz w:val="21"/>
                <w:szCs w:val="21"/>
              </w:rPr>
            </w:pPr>
            <w:r>
              <w:rPr>
                <w:sz w:val="21"/>
                <w:szCs w:val="21"/>
              </w:rPr>
              <w:t>肉类菜：香而不腻，富有弹性，严禁使用亚硝酸盐，严控松肉粉、食粉用量。</w:t>
            </w:r>
          </w:p>
          <w:p w14:paraId="0A2EB770">
            <w:pPr>
              <w:pStyle w:val="8"/>
              <w:numPr>
                <w:ilvl w:val="0"/>
                <w:numId w:val="3"/>
              </w:numPr>
              <w:spacing w:line="240" w:lineRule="auto"/>
              <w:rPr>
                <w:rFonts w:hint="default"/>
                <w:sz w:val="21"/>
                <w:szCs w:val="21"/>
              </w:rPr>
            </w:pPr>
            <w:r>
              <w:rPr>
                <w:sz w:val="21"/>
                <w:szCs w:val="21"/>
              </w:rPr>
              <w:t>炸类菜：酥、金黄色，不腻；外焦里嫩者须保持水分与鲜嫩度，严控炸油重复使用次数。</w:t>
            </w:r>
          </w:p>
          <w:p w14:paraId="37C25453">
            <w:pPr>
              <w:pStyle w:val="8"/>
              <w:numPr>
                <w:ilvl w:val="0"/>
                <w:numId w:val="3"/>
              </w:numPr>
              <w:spacing w:line="240" w:lineRule="auto"/>
              <w:rPr>
                <w:rFonts w:hint="default"/>
                <w:sz w:val="21"/>
                <w:szCs w:val="21"/>
              </w:rPr>
            </w:pPr>
            <w:r>
              <w:rPr>
                <w:sz w:val="21"/>
                <w:szCs w:val="21"/>
              </w:rPr>
              <w:t>海鲜类：必须新鲜，口味清淡，料味不压本味，不老、不腥。</w:t>
            </w:r>
          </w:p>
          <w:p w14:paraId="1BA1740E">
            <w:pPr>
              <w:pStyle w:val="8"/>
              <w:numPr>
                <w:ilvl w:val="0"/>
                <w:numId w:val="3"/>
              </w:numPr>
              <w:spacing w:line="240" w:lineRule="auto"/>
              <w:rPr>
                <w:rFonts w:hint="default"/>
                <w:sz w:val="21"/>
                <w:szCs w:val="21"/>
              </w:rPr>
            </w:pPr>
            <w:r>
              <w:rPr>
                <w:sz w:val="21"/>
                <w:szCs w:val="21"/>
              </w:rPr>
              <w:t>汤菜：汤菜盛入盛器中不能太满，以八分满或八分半满为宜。原料与汤比例适中；以鲜为主，先鲜后咸或其他味，无重油；其他口味汤菜突出要求口味但不过烈。</w:t>
            </w:r>
          </w:p>
          <w:p w14:paraId="44B12EEC">
            <w:pPr>
              <w:pStyle w:val="8"/>
              <w:numPr>
                <w:ilvl w:val="0"/>
                <w:numId w:val="3"/>
              </w:numPr>
              <w:spacing w:line="240" w:lineRule="auto"/>
              <w:rPr>
                <w:rFonts w:hint="default"/>
                <w:sz w:val="21"/>
                <w:szCs w:val="21"/>
              </w:rPr>
            </w:pPr>
            <w:r>
              <w:rPr>
                <w:sz w:val="21"/>
                <w:szCs w:val="21"/>
              </w:rPr>
              <w:t>切配标准：切配规则均匀，注意形状、颜色、营养、口感搭配；点缀不得影响口味。</w:t>
            </w:r>
          </w:p>
          <w:p w14:paraId="43A0A4CA">
            <w:pPr>
              <w:pStyle w:val="8"/>
              <w:numPr>
                <w:ilvl w:val="0"/>
                <w:numId w:val="3"/>
              </w:numPr>
              <w:spacing w:line="240" w:lineRule="auto"/>
              <w:rPr>
                <w:rFonts w:hint="default"/>
                <w:sz w:val="21"/>
                <w:szCs w:val="21"/>
              </w:rPr>
            </w:pPr>
            <w:r>
              <w:rPr>
                <w:sz w:val="21"/>
                <w:szCs w:val="21"/>
              </w:rPr>
              <w:t>烹饪标准：体现原料自然色，禁用色素及添加剂；颜色以青绿、金黄、酱红、枣红等自然色增进食欲。</w:t>
            </w:r>
          </w:p>
          <w:p w14:paraId="4413B4F9">
            <w:pPr>
              <w:pStyle w:val="8"/>
              <w:numPr>
                <w:ilvl w:val="0"/>
                <w:numId w:val="3"/>
              </w:numPr>
              <w:spacing w:line="240" w:lineRule="auto"/>
              <w:rPr>
                <w:rFonts w:hint="default"/>
                <w:sz w:val="21"/>
                <w:szCs w:val="21"/>
              </w:rPr>
            </w:pPr>
            <w:r>
              <w:rPr>
                <w:sz w:val="21"/>
                <w:szCs w:val="21"/>
              </w:rPr>
              <w:t>装盘要求：点缀精致、新鲜、协调，不孤立，比例恰当，画龙点睛。</w:t>
            </w:r>
          </w:p>
          <w:p w14:paraId="6E8F5CFA">
            <w:pPr>
              <w:pStyle w:val="8"/>
              <w:numPr>
                <w:ilvl w:val="0"/>
                <w:numId w:val="3"/>
              </w:numPr>
              <w:spacing w:line="240" w:lineRule="auto"/>
              <w:rPr>
                <w:rFonts w:hint="default"/>
                <w:sz w:val="21"/>
                <w:szCs w:val="21"/>
              </w:rPr>
            </w:pPr>
            <w:r>
              <w:rPr>
                <w:sz w:val="21"/>
                <w:szCs w:val="21"/>
              </w:rPr>
              <w:t>菜品卫生：杜绝异物，青菜先洗后泡30分钟，原料无腐烂变质，餐具须消毒，热菜盘子须热或烫手；坚持餐前、中、后卫生检查。</w:t>
            </w:r>
          </w:p>
          <w:p w14:paraId="5C956A40">
            <w:pPr>
              <w:pStyle w:val="8"/>
              <w:spacing w:line="240" w:lineRule="auto"/>
              <w:rPr>
                <w:rFonts w:hint="default"/>
                <w:b/>
                <w:bCs/>
                <w:sz w:val="21"/>
                <w:szCs w:val="21"/>
              </w:rPr>
            </w:pPr>
            <w:r>
              <w:rPr>
                <w:b/>
                <w:bCs/>
                <w:sz w:val="21"/>
                <w:szCs w:val="21"/>
              </w:rPr>
              <w:t>（四）食品卫生管理要求</w:t>
            </w:r>
          </w:p>
          <w:p w14:paraId="0AB3D0AE">
            <w:pPr>
              <w:pStyle w:val="8"/>
              <w:spacing w:line="240" w:lineRule="auto"/>
              <w:ind w:firstLine="420" w:firstLineChars="200"/>
              <w:rPr>
                <w:rFonts w:hint="default"/>
                <w:sz w:val="21"/>
                <w:szCs w:val="21"/>
              </w:rPr>
            </w:pPr>
            <w:r>
              <w:rPr>
                <w:sz w:val="21"/>
                <w:szCs w:val="21"/>
              </w:rPr>
              <w:t>4.1 卫生管理人员配备</w:t>
            </w:r>
          </w:p>
          <w:p w14:paraId="157208D9">
            <w:pPr>
              <w:pStyle w:val="8"/>
              <w:spacing w:line="240" w:lineRule="auto"/>
              <w:rPr>
                <w:rFonts w:hint="default"/>
                <w:sz w:val="21"/>
                <w:szCs w:val="21"/>
              </w:rPr>
            </w:pPr>
            <w:r>
              <w:rPr>
                <w:sz w:val="21"/>
                <w:szCs w:val="21"/>
              </w:rPr>
              <w:t>中标人应当配备专职或兼职食品卫生管理人员，对食品卫生进行监督、检查和考核，以确保食品的质量。</w:t>
            </w:r>
          </w:p>
          <w:p w14:paraId="2432197B">
            <w:pPr>
              <w:pStyle w:val="8"/>
              <w:spacing w:line="240" w:lineRule="auto"/>
              <w:ind w:firstLine="420" w:firstLineChars="200"/>
              <w:rPr>
                <w:rFonts w:hint="default"/>
                <w:sz w:val="21"/>
                <w:szCs w:val="21"/>
              </w:rPr>
            </w:pPr>
            <w:r>
              <w:rPr>
                <w:sz w:val="21"/>
                <w:szCs w:val="21"/>
              </w:rPr>
              <w:t>4.2 严格执行国家食品安全法及餐饮相关规定</w:t>
            </w:r>
          </w:p>
          <w:p w14:paraId="6A0BCCD4">
            <w:pPr>
              <w:pStyle w:val="8"/>
              <w:spacing w:line="240" w:lineRule="auto"/>
              <w:rPr>
                <w:rFonts w:hint="default"/>
                <w:sz w:val="21"/>
                <w:szCs w:val="21"/>
              </w:rPr>
            </w:pPr>
            <w:r>
              <w:rPr>
                <w:sz w:val="21"/>
                <w:szCs w:val="21"/>
              </w:rPr>
              <w:t>中标人须严格执行国家食品安全法以及食品加工、销售、饮食卫生“五四制”和有关部门对餐饮业的有关规定，合理经营和守法经营。经营期间，确保无事故发生，如因中标人原因造成用餐人员食物中毒、食品安全事故、火灾等事故发生，所有的法律责任和经济损失由中标人全部负责。</w:t>
            </w:r>
          </w:p>
          <w:p w14:paraId="43FCEFDF">
            <w:pPr>
              <w:pStyle w:val="8"/>
              <w:spacing w:line="240" w:lineRule="auto"/>
              <w:ind w:firstLine="420" w:firstLineChars="200"/>
              <w:rPr>
                <w:rFonts w:hint="default"/>
                <w:sz w:val="21"/>
                <w:szCs w:val="21"/>
              </w:rPr>
            </w:pPr>
            <w:r>
              <w:rPr>
                <w:sz w:val="21"/>
                <w:szCs w:val="21"/>
              </w:rPr>
              <w:t>4.3食物中毒事故报告制度</w:t>
            </w:r>
          </w:p>
          <w:p w14:paraId="3163DB99">
            <w:pPr>
              <w:pStyle w:val="8"/>
              <w:spacing w:line="240" w:lineRule="auto"/>
              <w:rPr>
                <w:rFonts w:hint="default"/>
                <w:sz w:val="21"/>
                <w:szCs w:val="21"/>
              </w:rPr>
            </w:pPr>
            <w:r>
              <w:rPr>
                <w:sz w:val="21"/>
                <w:szCs w:val="21"/>
              </w:rPr>
              <w:t>卫生管理人员或餐厅员工如发现食物中毒或可疑食品中毒事故时，必须立即向采购人和中标人双方报告，并保持现场和可疑食品，配合事故的调查和处理工作。</w:t>
            </w:r>
          </w:p>
          <w:p w14:paraId="7457D058">
            <w:pPr>
              <w:pStyle w:val="8"/>
              <w:spacing w:line="240" w:lineRule="auto"/>
              <w:ind w:firstLine="420" w:firstLineChars="200"/>
              <w:rPr>
                <w:rFonts w:hint="default"/>
                <w:sz w:val="21"/>
                <w:szCs w:val="21"/>
              </w:rPr>
            </w:pPr>
            <w:r>
              <w:rPr>
                <w:sz w:val="21"/>
                <w:szCs w:val="21"/>
              </w:rPr>
              <w:t>4.3 生熟分开与消毒制度</w:t>
            </w:r>
          </w:p>
          <w:p w14:paraId="7A953B40">
            <w:pPr>
              <w:pStyle w:val="8"/>
              <w:spacing w:line="240" w:lineRule="auto"/>
              <w:rPr>
                <w:rFonts w:hint="default"/>
                <w:sz w:val="21"/>
                <w:szCs w:val="21"/>
              </w:rPr>
            </w:pPr>
            <w:r>
              <w:rPr>
                <w:sz w:val="21"/>
                <w:szCs w:val="21"/>
              </w:rPr>
              <w:t>生熟食品要分开存放，坚持厨具、餐具清洗消毒制度，防止食品污染。各种原料加工要做到一摘、二洗、三清、四切配。</w:t>
            </w:r>
          </w:p>
          <w:p w14:paraId="39DF859A">
            <w:pPr>
              <w:pStyle w:val="8"/>
              <w:spacing w:line="240" w:lineRule="auto"/>
              <w:rPr>
                <w:rFonts w:hint="default"/>
                <w:sz w:val="21"/>
                <w:szCs w:val="21"/>
              </w:rPr>
            </w:pPr>
            <w:r>
              <w:rPr>
                <w:sz w:val="21"/>
                <w:szCs w:val="21"/>
              </w:rPr>
              <w:t xml:space="preserve">   4.4 餐具消毒与食品安全</w:t>
            </w:r>
          </w:p>
          <w:p w14:paraId="74E2C69D">
            <w:pPr>
              <w:pStyle w:val="8"/>
              <w:spacing w:line="240" w:lineRule="auto"/>
              <w:rPr>
                <w:rFonts w:hint="default"/>
                <w:sz w:val="21"/>
                <w:szCs w:val="21"/>
              </w:rPr>
            </w:pPr>
            <w:r>
              <w:rPr>
                <w:sz w:val="21"/>
                <w:szCs w:val="21"/>
              </w:rPr>
              <w:t>厨具、饮具、餐具必须每餐清洗干净并进行消毒处理，把住病从口入关，严防食物中毒和食源性疾病的发生。</w:t>
            </w:r>
          </w:p>
          <w:p w14:paraId="0E39A96D">
            <w:pPr>
              <w:pStyle w:val="8"/>
              <w:spacing w:line="240" w:lineRule="auto"/>
              <w:ind w:firstLine="420" w:firstLineChars="200"/>
              <w:rPr>
                <w:rFonts w:hint="default"/>
                <w:sz w:val="21"/>
                <w:szCs w:val="21"/>
              </w:rPr>
            </w:pPr>
            <w:r>
              <w:rPr>
                <w:sz w:val="21"/>
                <w:szCs w:val="21"/>
              </w:rPr>
              <w:t>4.5 饭菜质量基本要求</w:t>
            </w:r>
          </w:p>
          <w:p w14:paraId="35627154">
            <w:pPr>
              <w:pStyle w:val="8"/>
              <w:spacing w:line="240" w:lineRule="auto"/>
              <w:rPr>
                <w:rFonts w:hint="default"/>
                <w:sz w:val="21"/>
                <w:szCs w:val="21"/>
              </w:rPr>
            </w:pPr>
            <w:r>
              <w:rPr>
                <w:sz w:val="21"/>
                <w:szCs w:val="21"/>
              </w:rPr>
              <w:t>饭菜质量必须符合规定的质量标准，保证饭菜无变质、无沙粒、无杂物，做到质高量足，确保热饭热菜。要注重食品的营养质量和色香味搭配，努力提高烹调质量。</w:t>
            </w:r>
          </w:p>
          <w:p w14:paraId="536099FB">
            <w:pPr>
              <w:pStyle w:val="8"/>
              <w:spacing w:line="240" w:lineRule="auto"/>
              <w:rPr>
                <w:rFonts w:hint="default"/>
                <w:b/>
                <w:bCs/>
                <w:sz w:val="21"/>
                <w:szCs w:val="21"/>
              </w:rPr>
            </w:pPr>
            <w:r>
              <w:rPr>
                <w:b/>
                <w:bCs/>
                <w:sz w:val="21"/>
                <w:szCs w:val="21"/>
              </w:rPr>
              <w:t>（五）环境卫生管理要求</w:t>
            </w:r>
          </w:p>
          <w:p w14:paraId="3A954202">
            <w:pPr>
              <w:pStyle w:val="8"/>
              <w:spacing w:line="240" w:lineRule="auto"/>
              <w:ind w:firstLine="420" w:firstLineChars="200"/>
              <w:rPr>
                <w:rFonts w:hint="default"/>
                <w:sz w:val="21"/>
                <w:szCs w:val="21"/>
              </w:rPr>
            </w:pPr>
            <w:r>
              <w:rPr>
                <w:sz w:val="21"/>
                <w:szCs w:val="21"/>
              </w:rPr>
              <w:t>5.1 卫生责任制度</w:t>
            </w:r>
          </w:p>
          <w:p w14:paraId="4235F6A4">
            <w:pPr>
              <w:pStyle w:val="8"/>
              <w:spacing w:line="240" w:lineRule="auto"/>
              <w:rPr>
                <w:rFonts w:hint="default"/>
                <w:sz w:val="21"/>
                <w:szCs w:val="21"/>
              </w:rPr>
            </w:pPr>
            <w:r>
              <w:rPr>
                <w:sz w:val="21"/>
                <w:szCs w:val="21"/>
              </w:rPr>
              <w:t>环境卫生实行划片分工，责任到人，每天按照保洁区进行卫生清扫，保持内外环境整洁。</w:t>
            </w:r>
          </w:p>
          <w:p w14:paraId="298C4A83">
            <w:pPr>
              <w:pStyle w:val="8"/>
              <w:spacing w:line="240" w:lineRule="auto"/>
              <w:ind w:firstLine="420" w:firstLineChars="200"/>
              <w:rPr>
                <w:rFonts w:hint="default"/>
                <w:sz w:val="21"/>
                <w:szCs w:val="21"/>
              </w:rPr>
            </w:pPr>
            <w:r>
              <w:rPr>
                <w:sz w:val="21"/>
                <w:szCs w:val="21"/>
              </w:rPr>
              <w:t>5.2 设备与工具摆放</w:t>
            </w:r>
          </w:p>
          <w:p w14:paraId="1708D838">
            <w:pPr>
              <w:pStyle w:val="8"/>
              <w:spacing w:line="240" w:lineRule="auto"/>
              <w:rPr>
                <w:rFonts w:hint="default"/>
                <w:sz w:val="21"/>
                <w:szCs w:val="21"/>
              </w:rPr>
            </w:pPr>
            <w:r>
              <w:rPr>
                <w:sz w:val="21"/>
                <w:szCs w:val="21"/>
              </w:rPr>
              <w:t>设备布局应当合理，存放整齐有条理。容器、用具、工具、台面、机械设备应当保持清洁。</w:t>
            </w:r>
          </w:p>
          <w:p w14:paraId="5DF1D538">
            <w:pPr>
              <w:pStyle w:val="8"/>
              <w:spacing w:line="240" w:lineRule="auto"/>
              <w:ind w:firstLine="420" w:firstLineChars="200"/>
              <w:rPr>
                <w:rFonts w:hint="default"/>
                <w:sz w:val="21"/>
                <w:szCs w:val="21"/>
              </w:rPr>
            </w:pPr>
            <w:r>
              <w:rPr>
                <w:sz w:val="21"/>
                <w:szCs w:val="21"/>
              </w:rPr>
              <w:t>5.3 室内环境标准</w:t>
            </w:r>
          </w:p>
          <w:p w14:paraId="5920245D">
            <w:pPr>
              <w:pStyle w:val="8"/>
              <w:spacing w:line="240" w:lineRule="auto"/>
              <w:rPr>
                <w:rFonts w:hint="default"/>
                <w:sz w:val="21"/>
                <w:szCs w:val="21"/>
              </w:rPr>
            </w:pPr>
            <w:r>
              <w:rPr>
                <w:sz w:val="21"/>
                <w:szCs w:val="21"/>
              </w:rPr>
              <w:t>室内应保持干燥清洁、无积尘、无蛛网，地面无积水、不滑、无油腻，墙壁和房顶无油污、无霉斑、无滴水。</w:t>
            </w:r>
          </w:p>
          <w:p w14:paraId="28B1D546">
            <w:pPr>
              <w:pStyle w:val="8"/>
              <w:spacing w:line="240" w:lineRule="auto"/>
              <w:ind w:firstLine="420" w:firstLineChars="200"/>
              <w:rPr>
                <w:rFonts w:hint="default"/>
                <w:sz w:val="21"/>
                <w:szCs w:val="21"/>
              </w:rPr>
            </w:pPr>
            <w:r>
              <w:rPr>
                <w:sz w:val="21"/>
                <w:szCs w:val="21"/>
              </w:rPr>
              <w:t>5.4 垃圾处理</w:t>
            </w:r>
          </w:p>
          <w:p w14:paraId="3D8B939E">
            <w:pPr>
              <w:pStyle w:val="8"/>
              <w:spacing w:line="240" w:lineRule="auto"/>
              <w:rPr>
                <w:rFonts w:hint="default"/>
                <w:sz w:val="21"/>
                <w:szCs w:val="21"/>
              </w:rPr>
            </w:pPr>
            <w:r>
              <w:rPr>
                <w:sz w:val="21"/>
                <w:szCs w:val="21"/>
              </w:rPr>
              <w:t>垃圾和废弃物应当存放在专用容器中，实行垃圾袋装化，每天进行清除。</w:t>
            </w:r>
          </w:p>
          <w:p w14:paraId="745C47E9">
            <w:pPr>
              <w:pStyle w:val="8"/>
              <w:spacing w:line="240" w:lineRule="auto"/>
              <w:rPr>
                <w:rFonts w:hint="default"/>
                <w:b/>
                <w:bCs/>
                <w:sz w:val="21"/>
                <w:szCs w:val="21"/>
              </w:rPr>
            </w:pPr>
            <w:r>
              <w:rPr>
                <w:b/>
                <w:bCs/>
                <w:sz w:val="21"/>
                <w:szCs w:val="21"/>
              </w:rPr>
              <w:t>（六）厨房操作间卫生要求</w:t>
            </w:r>
          </w:p>
          <w:p w14:paraId="319F3E39">
            <w:pPr>
              <w:pStyle w:val="8"/>
              <w:spacing w:line="240" w:lineRule="auto"/>
              <w:ind w:firstLine="420" w:firstLineChars="200"/>
              <w:rPr>
                <w:rFonts w:hint="default"/>
                <w:sz w:val="21"/>
                <w:szCs w:val="21"/>
              </w:rPr>
            </w:pPr>
            <w:r>
              <w:rPr>
                <w:sz w:val="21"/>
                <w:szCs w:val="21"/>
              </w:rPr>
              <w:t>6.1 用具区分与标识</w:t>
            </w:r>
          </w:p>
          <w:p w14:paraId="40AF742A">
            <w:pPr>
              <w:pStyle w:val="8"/>
              <w:spacing w:line="240" w:lineRule="auto"/>
              <w:rPr>
                <w:rFonts w:hint="default"/>
                <w:sz w:val="21"/>
                <w:szCs w:val="21"/>
              </w:rPr>
            </w:pPr>
            <w:r>
              <w:rPr>
                <w:sz w:val="21"/>
                <w:szCs w:val="21"/>
              </w:rPr>
              <w:t>盛放生食、熟食、荤食、素食食品的用具要严格区分开，并做到不落地存放，洗净消毒，保持干燥，摆放整齐。加工生食和熟食食品的菜墩、刀具要有明显标识。</w:t>
            </w:r>
          </w:p>
          <w:p w14:paraId="7A0AE773">
            <w:pPr>
              <w:pStyle w:val="8"/>
              <w:spacing w:line="240" w:lineRule="auto"/>
              <w:ind w:firstLine="420" w:firstLineChars="200"/>
              <w:rPr>
                <w:rFonts w:hint="default"/>
                <w:sz w:val="21"/>
                <w:szCs w:val="21"/>
              </w:rPr>
            </w:pPr>
            <w:r>
              <w:rPr>
                <w:sz w:val="21"/>
                <w:szCs w:val="21"/>
              </w:rPr>
              <w:t>6.2 设备与台面清洁</w:t>
            </w:r>
          </w:p>
          <w:p w14:paraId="6BE2ECC0">
            <w:pPr>
              <w:pStyle w:val="8"/>
              <w:spacing w:line="240" w:lineRule="auto"/>
              <w:rPr>
                <w:rFonts w:hint="default"/>
                <w:sz w:val="21"/>
                <w:szCs w:val="21"/>
              </w:rPr>
            </w:pPr>
            <w:r>
              <w:rPr>
                <w:sz w:val="21"/>
                <w:szCs w:val="21"/>
              </w:rPr>
              <w:t>操作台、货物架、调料台、蒸箱要保持清洁，做到无灰尘、无油圬，洗菜池、车、筐无泥沙、无脏垢及异味。</w:t>
            </w:r>
          </w:p>
          <w:p w14:paraId="2DCE8398">
            <w:pPr>
              <w:pStyle w:val="8"/>
              <w:spacing w:line="240" w:lineRule="auto"/>
              <w:ind w:firstLine="420" w:firstLineChars="200"/>
              <w:rPr>
                <w:rFonts w:hint="default"/>
                <w:sz w:val="21"/>
                <w:szCs w:val="21"/>
              </w:rPr>
            </w:pPr>
            <w:r>
              <w:rPr>
                <w:sz w:val="21"/>
                <w:szCs w:val="21"/>
              </w:rPr>
              <w:t>6.3 机械设备管理</w:t>
            </w:r>
          </w:p>
          <w:p w14:paraId="5A33E11A">
            <w:pPr>
              <w:pStyle w:val="8"/>
              <w:spacing w:line="240" w:lineRule="auto"/>
              <w:rPr>
                <w:rFonts w:hint="default"/>
                <w:sz w:val="21"/>
                <w:szCs w:val="21"/>
              </w:rPr>
            </w:pPr>
            <w:r>
              <w:rPr>
                <w:sz w:val="21"/>
                <w:szCs w:val="21"/>
              </w:rPr>
              <w:t>各种炊事机械和电器设备用具必须摆放整齐，做到清洁卫生，由专人负责管理。</w:t>
            </w:r>
          </w:p>
          <w:p w14:paraId="442AF5D4">
            <w:pPr>
              <w:pStyle w:val="8"/>
              <w:spacing w:line="240" w:lineRule="auto"/>
              <w:ind w:firstLine="420" w:firstLineChars="200"/>
              <w:rPr>
                <w:rFonts w:hint="default"/>
                <w:sz w:val="21"/>
                <w:szCs w:val="21"/>
              </w:rPr>
            </w:pPr>
            <w:r>
              <w:rPr>
                <w:sz w:val="21"/>
                <w:szCs w:val="21"/>
              </w:rPr>
              <w:t>6.4 厨房整体环境</w:t>
            </w:r>
          </w:p>
          <w:p w14:paraId="4FA2DF72">
            <w:pPr>
              <w:pStyle w:val="8"/>
              <w:spacing w:line="240" w:lineRule="auto"/>
              <w:rPr>
                <w:rFonts w:hint="default"/>
                <w:sz w:val="21"/>
                <w:szCs w:val="21"/>
              </w:rPr>
            </w:pPr>
            <w:r>
              <w:rPr>
                <w:sz w:val="21"/>
                <w:szCs w:val="21"/>
              </w:rPr>
              <w:t>厨房地面、墙壁、顶棚、炉灶、地沟、案板等须经常擦扫和洗刷，保持通风、排烟、排水良好，物品堆放整齐。</w:t>
            </w:r>
          </w:p>
          <w:p w14:paraId="12B3CB97">
            <w:pPr>
              <w:pStyle w:val="8"/>
              <w:spacing w:line="240" w:lineRule="auto"/>
              <w:ind w:firstLine="420" w:firstLineChars="200"/>
              <w:rPr>
                <w:rFonts w:hint="default"/>
                <w:sz w:val="21"/>
                <w:szCs w:val="21"/>
              </w:rPr>
            </w:pPr>
            <w:r>
              <w:rPr>
                <w:sz w:val="21"/>
                <w:szCs w:val="21"/>
              </w:rPr>
              <w:t>6.5 日常与定期清扫</w:t>
            </w:r>
          </w:p>
          <w:p w14:paraId="0B05FC50">
            <w:pPr>
              <w:pStyle w:val="8"/>
              <w:spacing w:line="240" w:lineRule="auto"/>
              <w:rPr>
                <w:rFonts w:hint="default"/>
                <w:sz w:val="21"/>
                <w:szCs w:val="21"/>
              </w:rPr>
            </w:pPr>
            <w:r>
              <w:rPr>
                <w:sz w:val="21"/>
                <w:szCs w:val="21"/>
              </w:rPr>
              <w:t>坚持每次操作完毕后彻底清扫一次操作间，每周进行一次大扫除，以保持操作间光亮、整洁、干燥、卫生。</w:t>
            </w:r>
          </w:p>
          <w:p w14:paraId="1D52E458">
            <w:pPr>
              <w:pStyle w:val="8"/>
              <w:spacing w:line="240" w:lineRule="auto"/>
              <w:rPr>
                <w:rFonts w:hint="default"/>
                <w:b/>
                <w:bCs/>
                <w:sz w:val="21"/>
                <w:szCs w:val="21"/>
              </w:rPr>
            </w:pPr>
            <w:r>
              <w:rPr>
                <w:b/>
                <w:bCs/>
                <w:sz w:val="21"/>
                <w:szCs w:val="21"/>
              </w:rPr>
              <w:t>（七）食品粗加工卫生要求</w:t>
            </w:r>
          </w:p>
          <w:p w14:paraId="022BC9F0">
            <w:pPr>
              <w:pStyle w:val="8"/>
              <w:spacing w:line="240" w:lineRule="auto"/>
              <w:ind w:firstLine="420" w:firstLineChars="200"/>
              <w:rPr>
                <w:rFonts w:hint="default"/>
                <w:sz w:val="21"/>
                <w:szCs w:val="21"/>
              </w:rPr>
            </w:pPr>
            <w:r>
              <w:rPr>
                <w:sz w:val="21"/>
                <w:szCs w:val="21"/>
              </w:rPr>
              <w:t>7.1 原料检查</w:t>
            </w:r>
          </w:p>
          <w:p w14:paraId="56E787D9">
            <w:pPr>
              <w:pStyle w:val="8"/>
              <w:spacing w:line="240" w:lineRule="auto"/>
              <w:rPr>
                <w:rFonts w:hint="default"/>
                <w:sz w:val="21"/>
                <w:szCs w:val="21"/>
              </w:rPr>
            </w:pPr>
            <w:r>
              <w:rPr>
                <w:sz w:val="21"/>
                <w:szCs w:val="21"/>
              </w:rPr>
              <w:t>清洗加工食品前应先检查质量，超过保质期、腐败变质、有毒有害的食品不得进行加工。</w:t>
            </w:r>
          </w:p>
          <w:p w14:paraId="6496DA51">
            <w:pPr>
              <w:pStyle w:val="8"/>
              <w:spacing w:line="240" w:lineRule="auto"/>
              <w:ind w:firstLine="420" w:firstLineChars="200"/>
              <w:rPr>
                <w:rFonts w:hint="default"/>
                <w:sz w:val="21"/>
                <w:szCs w:val="21"/>
              </w:rPr>
            </w:pPr>
            <w:r>
              <w:rPr>
                <w:sz w:val="21"/>
                <w:szCs w:val="21"/>
              </w:rPr>
              <w:t>7.2 存放要求</w:t>
            </w:r>
          </w:p>
          <w:p w14:paraId="53DFCCD6">
            <w:pPr>
              <w:pStyle w:val="8"/>
              <w:spacing w:line="240" w:lineRule="auto"/>
              <w:rPr>
                <w:rFonts w:hint="default"/>
                <w:sz w:val="21"/>
                <w:szCs w:val="21"/>
              </w:rPr>
            </w:pPr>
            <w:r>
              <w:rPr>
                <w:sz w:val="21"/>
                <w:szCs w:val="21"/>
              </w:rPr>
              <w:t>肉类、水产品等易腐食品不得落地存放。</w:t>
            </w:r>
          </w:p>
          <w:p w14:paraId="10599C2F">
            <w:pPr>
              <w:pStyle w:val="8"/>
              <w:spacing w:line="240" w:lineRule="auto"/>
              <w:ind w:firstLine="420" w:firstLineChars="200"/>
              <w:rPr>
                <w:rFonts w:hint="default"/>
                <w:sz w:val="21"/>
                <w:szCs w:val="21"/>
              </w:rPr>
            </w:pPr>
            <w:r>
              <w:rPr>
                <w:sz w:val="21"/>
                <w:szCs w:val="21"/>
              </w:rPr>
              <w:t>7.3 分池清洗</w:t>
            </w:r>
          </w:p>
          <w:p w14:paraId="11019472">
            <w:pPr>
              <w:pStyle w:val="8"/>
              <w:spacing w:line="240" w:lineRule="auto"/>
              <w:rPr>
                <w:rFonts w:hint="default"/>
                <w:sz w:val="21"/>
                <w:szCs w:val="21"/>
              </w:rPr>
            </w:pPr>
            <w:r>
              <w:rPr>
                <w:sz w:val="21"/>
                <w:szCs w:val="21"/>
              </w:rPr>
              <w:t>肉类、水产品、蔬菜应当分池进行清洗，洗净后放在食品货架上。</w:t>
            </w:r>
          </w:p>
          <w:p w14:paraId="6ED548EC">
            <w:pPr>
              <w:pStyle w:val="8"/>
              <w:spacing w:line="240" w:lineRule="auto"/>
              <w:ind w:firstLine="420" w:firstLineChars="200"/>
              <w:rPr>
                <w:rFonts w:hint="default"/>
                <w:sz w:val="21"/>
                <w:szCs w:val="21"/>
              </w:rPr>
            </w:pPr>
            <w:r>
              <w:rPr>
                <w:sz w:val="21"/>
                <w:szCs w:val="21"/>
              </w:rPr>
              <w:t>7.4 蔬菜清洗顺序</w:t>
            </w:r>
          </w:p>
          <w:p w14:paraId="157922E9">
            <w:pPr>
              <w:pStyle w:val="8"/>
              <w:spacing w:line="240" w:lineRule="auto"/>
              <w:rPr>
                <w:rFonts w:hint="default"/>
                <w:sz w:val="21"/>
                <w:szCs w:val="21"/>
              </w:rPr>
            </w:pPr>
            <w:r>
              <w:rPr>
                <w:sz w:val="21"/>
                <w:szCs w:val="21"/>
              </w:rPr>
              <w:t>蔬菜应当按照一拣、二洗、三切的顺序进行操作，清洗后的蔬菜不得有残留污物和杂草。</w:t>
            </w:r>
          </w:p>
          <w:p w14:paraId="33A6FC0F">
            <w:pPr>
              <w:pStyle w:val="8"/>
              <w:spacing w:line="240" w:lineRule="auto"/>
              <w:rPr>
                <w:rFonts w:hint="default"/>
                <w:sz w:val="21"/>
                <w:szCs w:val="21"/>
              </w:rPr>
            </w:pPr>
            <w:r>
              <w:rPr>
                <w:sz w:val="21"/>
                <w:szCs w:val="21"/>
              </w:rPr>
              <w:t>7.5 荤素容器分开</w:t>
            </w:r>
          </w:p>
          <w:p w14:paraId="27E02685">
            <w:pPr>
              <w:pStyle w:val="8"/>
              <w:spacing w:line="240" w:lineRule="auto"/>
              <w:rPr>
                <w:rFonts w:hint="default"/>
                <w:sz w:val="21"/>
                <w:szCs w:val="21"/>
              </w:rPr>
            </w:pPr>
            <w:r>
              <w:rPr>
                <w:sz w:val="21"/>
                <w:szCs w:val="21"/>
              </w:rPr>
              <w:t>盛放荤食品与盛放素食品的容器应当分开使用，用后及时清洗干净。</w:t>
            </w:r>
          </w:p>
          <w:p w14:paraId="06DB29C5">
            <w:pPr>
              <w:pStyle w:val="8"/>
              <w:spacing w:line="240" w:lineRule="auto"/>
              <w:rPr>
                <w:rFonts w:hint="default"/>
                <w:sz w:val="21"/>
                <w:szCs w:val="21"/>
              </w:rPr>
            </w:pPr>
            <w:r>
              <w:rPr>
                <w:sz w:val="21"/>
                <w:szCs w:val="21"/>
              </w:rPr>
              <w:t>7.6 加工结束清洁</w:t>
            </w:r>
          </w:p>
          <w:p w14:paraId="79642AAE">
            <w:pPr>
              <w:pStyle w:val="8"/>
              <w:spacing w:line="240" w:lineRule="auto"/>
              <w:rPr>
                <w:rFonts w:hint="default"/>
                <w:sz w:val="21"/>
                <w:szCs w:val="21"/>
              </w:rPr>
            </w:pPr>
            <w:r>
              <w:rPr>
                <w:sz w:val="21"/>
                <w:szCs w:val="21"/>
              </w:rPr>
              <w:t>加工结束后须将地面、水池、加工台、工具、容器清扫洗刷干净。</w:t>
            </w:r>
          </w:p>
          <w:p w14:paraId="463DF30C">
            <w:pPr>
              <w:pStyle w:val="8"/>
              <w:spacing w:line="240" w:lineRule="auto"/>
              <w:rPr>
                <w:rFonts w:hint="default"/>
                <w:sz w:val="21"/>
                <w:szCs w:val="21"/>
              </w:rPr>
            </w:pPr>
            <w:r>
              <w:rPr>
                <w:sz w:val="21"/>
                <w:szCs w:val="21"/>
              </w:rPr>
              <w:t>7.7 垃圾收集设施</w:t>
            </w:r>
          </w:p>
          <w:p w14:paraId="583763FE">
            <w:pPr>
              <w:pStyle w:val="8"/>
              <w:spacing w:line="240" w:lineRule="auto"/>
              <w:rPr>
                <w:rFonts w:hint="default"/>
                <w:sz w:val="21"/>
                <w:szCs w:val="21"/>
              </w:rPr>
            </w:pPr>
            <w:r>
              <w:rPr>
                <w:sz w:val="21"/>
                <w:szCs w:val="21"/>
              </w:rPr>
              <w:t>应有收集垃圾及废弃物的带盖垃圾箱或垃圾桶，并实行垃圾袋装化。</w:t>
            </w:r>
          </w:p>
          <w:p w14:paraId="48A9EE67">
            <w:pPr>
              <w:pStyle w:val="8"/>
              <w:spacing w:line="240" w:lineRule="auto"/>
              <w:rPr>
                <w:rFonts w:hint="default"/>
                <w:b/>
                <w:bCs/>
                <w:sz w:val="21"/>
                <w:szCs w:val="21"/>
              </w:rPr>
            </w:pPr>
            <w:r>
              <w:rPr>
                <w:b/>
                <w:bCs/>
                <w:sz w:val="21"/>
                <w:szCs w:val="21"/>
              </w:rPr>
              <w:t>（八）切配卫生要求</w:t>
            </w:r>
          </w:p>
          <w:p w14:paraId="528D19FB">
            <w:pPr>
              <w:pStyle w:val="8"/>
              <w:spacing w:line="240" w:lineRule="auto"/>
              <w:rPr>
                <w:rFonts w:hint="default"/>
                <w:sz w:val="21"/>
                <w:szCs w:val="21"/>
              </w:rPr>
            </w:pPr>
            <w:r>
              <w:rPr>
                <w:sz w:val="21"/>
                <w:szCs w:val="21"/>
              </w:rPr>
              <w:t>8.1 食品质量检查</w:t>
            </w:r>
          </w:p>
          <w:p w14:paraId="11BAE24F">
            <w:pPr>
              <w:pStyle w:val="8"/>
              <w:spacing w:line="240" w:lineRule="auto"/>
              <w:rPr>
                <w:rFonts w:hint="default"/>
                <w:sz w:val="21"/>
                <w:szCs w:val="21"/>
              </w:rPr>
            </w:pPr>
            <w:r>
              <w:rPr>
                <w:sz w:val="21"/>
                <w:szCs w:val="21"/>
              </w:rPr>
              <w:t>切配前应当检查食品质量，不新鲜的食品、超过保质期的食品、腐败变质和有毒有害的食品不得进行切配。</w:t>
            </w:r>
          </w:p>
          <w:p w14:paraId="730004AB">
            <w:pPr>
              <w:pStyle w:val="8"/>
              <w:spacing w:line="240" w:lineRule="auto"/>
              <w:rPr>
                <w:rFonts w:hint="default"/>
                <w:sz w:val="21"/>
                <w:szCs w:val="21"/>
              </w:rPr>
            </w:pPr>
            <w:r>
              <w:rPr>
                <w:sz w:val="21"/>
                <w:szCs w:val="21"/>
              </w:rPr>
              <w:t>8.2 存放与加工量控制</w:t>
            </w:r>
          </w:p>
          <w:p w14:paraId="72956EBC">
            <w:pPr>
              <w:pStyle w:val="8"/>
              <w:spacing w:line="240" w:lineRule="auto"/>
              <w:rPr>
                <w:rFonts w:hint="default"/>
                <w:sz w:val="21"/>
                <w:szCs w:val="21"/>
              </w:rPr>
            </w:pPr>
            <w:r>
              <w:rPr>
                <w:sz w:val="21"/>
                <w:szCs w:val="21"/>
              </w:rPr>
              <w:t>食品不得着地存放，应当以销定量并及时加工切配，暂时不用或用不完的新鲜食品应及时放入冰箱保存。严禁把食品大量加工成半成品后放入冰箱内备用。</w:t>
            </w:r>
          </w:p>
          <w:p w14:paraId="21A14688">
            <w:pPr>
              <w:pStyle w:val="8"/>
              <w:spacing w:line="240" w:lineRule="auto"/>
              <w:rPr>
                <w:rFonts w:hint="default"/>
                <w:sz w:val="21"/>
                <w:szCs w:val="21"/>
              </w:rPr>
            </w:pPr>
            <w:r>
              <w:rPr>
                <w:sz w:val="21"/>
                <w:szCs w:val="21"/>
              </w:rPr>
              <w:t>8.3 水产品与其他食品分开</w:t>
            </w:r>
          </w:p>
          <w:p w14:paraId="73A9A549">
            <w:pPr>
              <w:pStyle w:val="8"/>
              <w:spacing w:line="240" w:lineRule="auto"/>
              <w:rPr>
                <w:rFonts w:hint="default"/>
                <w:sz w:val="21"/>
                <w:szCs w:val="21"/>
              </w:rPr>
            </w:pPr>
            <w:r>
              <w:rPr>
                <w:sz w:val="21"/>
                <w:szCs w:val="21"/>
              </w:rPr>
              <w:t>切配水产品的刀、砧板、抹布和切配其他食品的工具须分开使用。</w:t>
            </w:r>
          </w:p>
          <w:p w14:paraId="112E7F0D">
            <w:pPr>
              <w:pStyle w:val="8"/>
              <w:spacing w:line="240" w:lineRule="auto"/>
              <w:rPr>
                <w:rFonts w:hint="default"/>
                <w:sz w:val="21"/>
                <w:szCs w:val="21"/>
              </w:rPr>
            </w:pPr>
            <w:r>
              <w:rPr>
                <w:sz w:val="21"/>
                <w:szCs w:val="21"/>
              </w:rPr>
              <w:t>8.4 容器标识</w:t>
            </w:r>
          </w:p>
          <w:p w14:paraId="3236C6FB">
            <w:pPr>
              <w:pStyle w:val="8"/>
              <w:spacing w:line="240" w:lineRule="auto"/>
              <w:rPr>
                <w:rFonts w:hint="default"/>
                <w:sz w:val="21"/>
                <w:szCs w:val="21"/>
              </w:rPr>
            </w:pPr>
            <w:r>
              <w:rPr>
                <w:sz w:val="21"/>
                <w:szCs w:val="21"/>
              </w:rPr>
              <w:t>食品容器应当清洁卫生，配菜盆与出菜盆应当分开，并有明显标识。</w:t>
            </w:r>
          </w:p>
          <w:p w14:paraId="3BDDCC69">
            <w:pPr>
              <w:pStyle w:val="8"/>
              <w:spacing w:line="240" w:lineRule="auto"/>
              <w:rPr>
                <w:rFonts w:hint="default"/>
                <w:sz w:val="21"/>
                <w:szCs w:val="21"/>
              </w:rPr>
            </w:pPr>
            <w:r>
              <w:rPr>
                <w:sz w:val="21"/>
                <w:szCs w:val="21"/>
              </w:rPr>
              <w:t>8.5 工具用具清洁</w:t>
            </w:r>
          </w:p>
          <w:p w14:paraId="70A6C018">
            <w:pPr>
              <w:pStyle w:val="8"/>
              <w:spacing w:line="240" w:lineRule="auto"/>
              <w:rPr>
                <w:rFonts w:hint="default"/>
                <w:sz w:val="21"/>
                <w:szCs w:val="21"/>
              </w:rPr>
            </w:pPr>
            <w:r>
              <w:rPr>
                <w:sz w:val="21"/>
                <w:szCs w:val="21"/>
              </w:rPr>
              <w:t>工具用具应当保持清洁，做到刀不锈、砧板不霉、加工台面整洁、抹布干净。</w:t>
            </w:r>
          </w:p>
          <w:p w14:paraId="25127059">
            <w:pPr>
              <w:pStyle w:val="8"/>
              <w:spacing w:line="240" w:lineRule="auto"/>
              <w:rPr>
                <w:rFonts w:hint="default"/>
                <w:sz w:val="21"/>
                <w:szCs w:val="21"/>
              </w:rPr>
            </w:pPr>
            <w:r>
              <w:rPr>
                <w:sz w:val="21"/>
                <w:szCs w:val="21"/>
              </w:rPr>
              <w:t>8.6 配菜结束清洁</w:t>
            </w:r>
          </w:p>
          <w:p w14:paraId="3BFCD491">
            <w:pPr>
              <w:pStyle w:val="8"/>
              <w:spacing w:line="240" w:lineRule="auto"/>
              <w:rPr>
                <w:rFonts w:hint="default"/>
                <w:sz w:val="21"/>
                <w:szCs w:val="21"/>
              </w:rPr>
            </w:pPr>
            <w:r>
              <w:rPr>
                <w:sz w:val="21"/>
                <w:szCs w:val="21"/>
              </w:rPr>
              <w:t>配菜结束后，刀、砧板、抹布、工具、用具、容器应当清洗干净，配菜台面、菜架、食品橱整理干净，地面清扫干净，保持室内清洁卫生。</w:t>
            </w:r>
          </w:p>
          <w:p w14:paraId="3131AD07">
            <w:pPr>
              <w:pStyle w:val="8"/>
              <w:spacing w:line="240" w:lineRule="auto"/>
              <w:rPr>
                <w:rFonts w:hint="default"/>
                <w:b/>
                <w:bCs/>
                <w:sz w:val="21"/>
                <w:szCs w:val="21"/>
              </w:rPr>
            </w:pPr>
            <w:r>
              <w:rPr>
                <w:b/>
                <w:bCs/>
                <w:sz w:val="21"/>
                <w:szCs w:val="21"/>
              </w:rPr>
              <w:t>（九）烹饪区卫生要求</w:t>
            </w:r>
          </w:p>
          <w:p w14:paraId="32013222">
            <w:pPr>
              <w:pStyle w:val="8"/>
              <w:spacing w:line="240" w:lineRule="auto"/>
              <w:rPr>
                <w:rFonts w:hint="default"/>
                <w:sz w:val="21"/>
                <w:szCs w:val="21"/>
              </w:rPr>
            </w:pPr>
            <w:r>
              <w:rPr>
                <w:sz w:val="21"/>
                <w:szCs w:val="21"/>
              </w:rPr>
              <w:t>9.1 场地整洁</w:t>
            </w:r>
          </w:p>
          <w:p w14:paraId="1D126196">
            <w:pPr>
              <w:pStyle w:val="8"/>
              <w:spacing w:line="240" w:lineRule="auto"/>
              <w:rPr>
                <w:rFonts w:hint="default"/>
                <w:sz w:val="21"/>
                <w:szCs w:val="21"/>
              </w:rPr>
            </w:pPr>
            <w:r>
              <w:rPr>
                <w:sz w:val="21"/>
                <w:szCs w:val="21"/>
              </w:rPr>
              <w:t>保持加工场地整洁、清爽，无污物。</w:t>
            </w:r>
          </w:p>
          <w:p w14:paraId="23E1C79F">
            <w:pPr>
              <w:pStyle w:val="8"/>
              <w:spacing w:line="240" w:lineRule="auto"/>
              <w:rPr>
                <w:rFonts w:hint="default"/>
                <w:sz w:val="21"/>
                <w:szCs w:val="21"/>
              </w:rPr>
            </w:pPr>
            <w:r>
              <w:rPr>
                <w:sz w:val="21"/>
                <w:szCs w:val="21"/>
              </w:rPr>
              <w:t>9.2 调味品管理</w:t>
            </w:r>
          </w:p>
          <w:p w14:paraId="20F36185">
            <w:pPr>
              <w:pStyle w:val="8"/>
              <w:spacing w:line="240" w:lineRule="auto"/>
              <w:rPr>
                <w:rFonts w:hint="default"/>
                <w:sz w:val="21"/>
                <w:szCs w:val="21"/>
              </w:rPr>
            </w:pPr>
            <w:r>
              <w:rPr>
                <w:sz w:val="21"/>
                <w:szCs w:val="21"/>
              </w:rPr>
              <w:t>烹饪用的调味品应当加盖存放，防止污染。</w:t>
            </w:r>
          </w:p>
          <w:p w14:paraId="4E75B96D">
            <w:pPr>
              <w:pStyle w:val="8"/>
              <w:spacing w:line="240" w:lineRule="auto"/>
              <w:rPr>
                <w:rFonts w:hint="default"/>
                <w:sz w:val="21"/>
                <w:szCs w:val="21"/>
              </w:rPr>
            </w:pPr>
            <w:r>
              <w:rPr>
                <w:sz w:val="21"/>
                <w:szCs w:val="21"/>
              </w:rPr>
              <w:t>9.3 菜台分开</w:t>
            </w:r>
          </w:p>
          <w:p w14:paraId="01323ACD">
            <w:pPr>
              <w:pStyle w:val="8"/>
              <w:spacing w:line="240" w:lineRule="auto"/>
              <w:rPr>
                <w:rFonts w:hint="default"/>
                <w:sz w:val="21"/>
                <w:szCs w:val="21"/>
              </w:rPr>
            </w:pPr>
            <w:r>
              <w:rPr>
                <w:sz w:val="21"/>
                <w:szCs w:val="21"/>
              </w:rPr>
              <w:t>生食品与熟食品的菜台应当分开使用，保持台面整洁、干净。</w:t>
            </w:r>
          </w:p>
          <w:p w14:paraId="0F47ADB8">
            <w:pPr>
              <w:pStyle w:val="8"/>
              <w:spacing w:line="240" w:lineRule="auto"/>
              <w:rPr>
                <w:rFonts w:hint="default"/>
                <w:sz w:val="21"/>
                <w:szCs w:val="21"/>
              </w:rPr>
            </w:pPr>
            <w:r>
              <w:rPr>
                <w:sz w:val="21"/>
                <w:szCs w:val="21"/>
              </w:rPr>
              <w:t>9.4 防尘防蝇</w:t>
            </w:r>
          </w:p>
          <w:p w14:paraId="0314C67B">
            <w:pPr>
              <w:pStyle w:val="8"/>
              <w:spacing w:line="240" w:lineRule="auto"/>
              <w:rPr>
                <w:rFonts w:hint="default"/>
                <w:sz w:val="21"/>
                <w:szCs w:val="21"/>
              </w:rPr>
            </w:pPr>
            <w:r>
              <w:rPr>
                <w:sz w:val="21"/>
                <w:szCs w:val="21"/>
              </w:rPr>
              <w:t>制作好的食品应当设有防尘、防蝇设施。</w:t>
            </w:r>
          </w:p>
          <w:p w14:paraId="51E4BC12">
            <w:pPr>
              <w:pStyle w:val="8"/>
              <w:spacing w:line="240" w:lineRule="auto"/>
              <w:rPr>
                <w:rFonts w:hint="default"/>
                <w:b/>
                <w:bCs/>
                <w:sz w:val="21"/>
                <w:szCs w:val="21"/>
              </w:rPr>
            </w:pPr>
            <w:r>
              <w:rPr>
                <w:b/>
                <w:bCs/>
                <w:sz w:val="21"/>
                <w:szCs w:val="21"/>
              </w:rPr>
              <w:t>（十）食品留样要求</w:t>
            </w:r>
          </w:p>
          <w:p w14:paraId="5BC4D315">
            <w:pPr>
              <w:pStyle w:val="8"/>
              <w:spacing w:line="240" w:lineRule="auto"/>
              <w:rPr>
                <w:rFonts w:hint="default"/>
                <w:sz w:val="21"/>
                <w:szCs w:val="21"/>
              </w:rPr>
            </w:pPr>
            <w:r>
              <w:rPr>
                <w:sz w:val="21"/>
                <w:szCs w:val="21"/>
              </w:rPr>
              <w:t>10.1 留样容器要求</w:t>
            </w:r>
          </w:p>
          <w:p w14:paraId="6B470522">
            <w:pPr>
              <w:pStyle w:val="8"/>
              <w:spacing w:line="240" w:lineRule="auto"/>
              <w:rPr>
                <w:rFonts w:hint="default"/>
                <w:sz w:val="21"/>
                <w:szCs w:val="21"/>
              </w:rPr>
            </w:pPr>
            <w:r>
              <w:rPr>
                <w:sz w:val="21"/>
                <w:szCs w:val="21"/>
              </w:rPr>
              <w:t>留样使用的容器必须经过严格消毒，保持清洁，禁止使用不洁容器存放样品。</w:t>
            </w:r>
          </w:p>
          <w:p w14:paraId="2222C52C">
            <w:pPr>
              <w:pStyle w:val="8"/>
              <w:spacing w:line="240" w:lineRule="auto"/>
              <w:rPr>
                <w:rFonts w:hint="default"/>
                <w:sz w:val="21"/>
                <w:szCs w:val="21"/>
              </w:rPr>
            </w:pPr>
            <w:r>
              <w:rPr>
                <w:sz w:val="21"/>
                <w:szCs w:val="21"/>
              </w:rPr>
              <w:t>10.2 留样标识</w:t>
            </w:r>
          </w:p>
          <w:p w14:paraId="552C7706">
            <w:pPr>
              <w:pStyle w:val="8"/>
              <w:spacing w:line="240" w:lineRule="auto"/>
              <w:rPr>
                <w:rFonts w:hint="default"/>
                <w:sz w:val="21"/>
                <w:szCs w:val="21"/>
              </w:rPr>
            </w:pPr>
            <w:r>
              <w:rPr>
                <w:sz w:val="21"/>
                <w:szCs w:val="21"/>
              </w:rPr>
              <w:t>留样食品冷却后，必须加盖，并在外面标明留样日期、品名、餐次、留样人姓名，然后放入冰箱内保存。</w:t>
            </w:r>
          </w:p>
          <w:p w14:paraId="7217B6DF">
            <w:pPr>
              <w:pStyle w:val="8"/>
              <w:spacing w:line="240" w:lineRule="auto"/>
              <w:rPr>
                <w:rFonts w:hint="default"/>
                <w:sz w:val="21"/>
                <w:szCs w:val="21"/>
              </w:rPr>
            </w:pPr>
            <w:r>
              <w:rPr>
                <w:sz w:val="21"/>
                <w:szCs w:val="21"/>
              </w:rPr>
              <w:t>10.3 留样记录</w:t>
            </w:r>
          </w:p>
          <w:p w14:paraId="4D167C07">
            <w:pPr>
              <w:pStyle w:val="8"/>
              <w:spacing w:line="240" w:lineRule="auto"/>
              <w:rPr>
                <w:rFonts w:hint="default"/>
                <w:sz w:val="21"/>
                <w:szCs w:val="21"/>
              </w:rPr>
            </w:pPr>
            <w:r>
              <w:rPr>
                <w:sz w:val="21"/>
                <w:szCs w:val="21"/>
              </w:rPr>
              <w:t>每餐必须做好留样记录，包括留样日期和食品名称，便于检查和追溯，每餐留样不少于125g。</w:t>
            </w:r>
          </w:p>
          <w:p w14:paraId="6F81AE44">
            <w:pPr>
              <w:pStyle w:val="8"/>
              <w:spacing w:line="240" w:lineRule="auto"/>
              <w:rPr>
                <w:rFonts w:hint="default"/>
                <w:sz w:val="21"/>
                <w:szCs w:val="21"/>
              </w:rPr>
            </w:pPr>
            <w:r>
              <w:rPr>
                <w:sz w:val="21"/>
                <w:szCs w:val="21"/>
              </w:rPr>
              <w:t>10.4 留样保存与销毁</w:t>
            </w:r>
          </w:p>
          <w:p w14:paraId="4061C915">
            <w:pPr>
              <w:pStyle w:val="8"/>
              <w:spacing w:line="240" w:lineRule="auto"/>
              <w:rPr>
                <w:rFonts w:hint="default"/>
                <w:sz w:val="21"/>
                <w:szCs w:val="21"/>
              </w:rPr>
            </w:pPr>
            <w:r>
              <w:rPr>
                <w:sz w:val="21"/>
                <w:szCs w:val="21"/>
              </w:rPr>
              <w:t>食品样品留存48小时后应当及时销毁，留存食品不得混入用餐食品中供人食用。</w:t>
            </w:r>
          </w:p>
          <w:p w14:paraId="02DCDF65">
            <w:pPr>
              <w:pStyle w:val="8"/>
              <w:spacing w:line="240" w:lineRule="auto"/>
              <w:rPr>
                <w:rFonts w:hint="default"/>
                <w:b/>
                <w:bCs/>
                <w:sz w:val="21"/>
                <w:szCs w:val="21"/>
              </w:rPr>
            </w:pPr>
            <w:r>
              <w:rPr>
                <w:b/>
                <w:bCs/>
                <w:sz w:val="21"/>
                <w:szCs w:val="21"/>
              </w:rPr>
              <w:t>（十一）餐厅卫生要求</w:t>
            </w:r>
          </w:p>
          <w:p w14:paraId="0D909088">
            <w:pPr>
              <w:pStyle w:val="8"/>
              <w:spacing w:line="240" w:lineRule="auto"/>
              <w:rPr>
                <w:rFonts w:hint="default"/>
                <w:sz w:val="21"/>
                <w:szCs w:val="21"/>
              </w:rPr>
            </w:pPr>
            <w:r>
              <w:rPr>
                <w:sz w:val="21"/>
                <w:szCs w:val="21"/>
              </w:rPr>
              <w:t>11.1 日常保洁</w:t>
            </w:r>
          </w:p>
          <w:p w14:paraId="17BD3F36">
            <w:pPr>
              <w:pStyle w:val="8"/>
              <w:spacing w:line="240" w:lineRule="auto"/>
              <w:rPr>
                <w:rFonts w:hint="default"/>
                <w:sz w:val="21"/>
                <w:szCs w:val="21"/>
              </w:rPr>
            </w:pPr>
            <w:r>
              <w:rPr>
                <w:sz w:val="21"/>
                <w:szCs w:val="21"/>
              </w:rPr>
              <w:t>餐厅应保持整洁，饭前进行整理，饭后进行清洁。</w:t>
            </w:r>
          </w:p>
          <w:p w14:paraId="08022508">
            <w:pPr>
              <w:pStyle w:val="8"/>
              <w:spacing w:line="240" w:lineRule="auto"/>
              <w:rPr>
                <w:rFonts w:hint="default"/>
                <w:sz w:val="21"/>
                <w:szCs w:val="21"/>
              </w:rPr>
            </w:pPr>
            <w:r>
              <w:rPr>
                <w:sz w:val="21"/>
                <w:szCs w:val="21"/>
              </w:rPr>
              <w:t>11.2 环境标准</w:t>
            </w:r>
          </w:p>
          <w:p w14:paraId="24AB3B2C">
            <w:pPr>
              <w:pStyle w:val="8"/>
              <w:spacing w:line="240" w:lineRule="auto"/>
              <w:rPr>
                <w:rFonts w:hint="default"/>
                <w:sz w:val="21"/>
                <w:szCs w:val="21"/>
              </w:rPr>
            </w:pPr>
            <w:r>
              <w:rPr>
                <w:sz w:val="21"/>
                <w:szCs w:val="21"/>
              </w:rPr>
              <w:t>要做到四壁无尘、地面清洁、桌面洁净、环境舒适。</w:t>
            </w:r>
          </w:p>
          <w:p w14:paraId="5C5FC0F1">
            <w:pPr>
              <w:pStyle w:val="8"/>
              <w:spacing w:line="240" w:lineRule="auto"/>
              <w:rPr>
                <w:rFonts w:hint="default"/>
                <w:sz w:val="21"/>
                <w:szCs w:val="21"/>
              </w:rPr>
            </w:pPr>
            <w:r>
              <w:rPr>
                <w:sz w:val="21"/>
                <w:szCs w:val="21"/>
              </w:rPr>
              <w:t>11.3 残渣清理</w:t>
            </w:r>
          </w:p>
          <w:p w14:paraId="71C5EE0E">
            <w:pPr>
              <w:pStyle w:val="8"/>
              <w:spacing w:line="240" w:lineRule="auto"/>
              <w:rPr>
                <w:rFonts w:hint="default"/>
                <w:sz w:val="21"/>
                <w:szCs w:val="21"/>
              </w:rPr>
            </w:pPr>
            <w:r>
              <w:rPr>
                <w:sz w:val="21"/>
                <w:szCs w:val="21"/>
              </w:rPr>
              <w:t>残肴和骨渣应当及时清除，不得乱丢在地上。</w:t>
            </w:r>
          </w:p>
          <w:p w14:paraId="4D198D4B">
            <w:pPr>
              <w:pStyle w:val="8"/>
              <w:spacing w:line="240" w:lineRule="auto"/>
              <w:rPr>
                <w:rFonts w:hint="default"/>
                <w:sz w:val="21"/>
                <w:szCs w:val="21"/>
              </w:rPr>
            </w:pPr>
            <w:r>
              <w:rPr>
                <w:sz w:val="21"/>
                <w:szCs w:val="21"/>
              </w:rPr>
              <w:t>11.4 废物容器</w:t>
            </w:r>
          </w:p>
          <w:p w14:paraId="53CDC9A0">
            <w:pPr>
              <w:pStyle w:val="8"/>
              <w:spacing w:line="240" w:lineRule="auto"/>
              <w:rPr>
                <w:rFonts w:hint="default"/>
                <w:sz w:val="21"/>
                <w:szCs w:val="21"/>
              </w:rPr>
            </w:pPr>
            <w:r>
              <w:rPr>
                <w:sz w:val="21"/>
                <w:szCs w:val="21"/>
              </w:rPr>
              <w:t>餐厅内不准堆放杂物，应设置盛装废物的容器，每天清除容器内的废物一次。</w:t>
            </w:r>
          </w:p>
          <w:p w14:paraId="0B0F5B34">
            <w:pPr>
              <w:pStyle w:val="8"/>
              <w:spacing w:line="240" w:lineRule="auto"/>
              <w:rPr>
                <w:rFonts w:hint="default"/>
                <w:b/>
                <w:bCs/>
                <w:sz w:val="21"/>
                <w:szCs w:val="21"/>
              </w:rPr>
            </w:pPr>
            <w:r>
              <w:rPr>
                <w:b/>
                <w:bCs/>
                <w:sz w:val="21"/>
                <w:szCs w:val="21"/>
              </w:rPr>
              <w:t>（十二）餐具卫生要求</w:t>
            </w:r>
          </w:p>
          <w:p w14:paraId="1F2B825A">
            <w:pPr>
              <w:pStyle w:val="8"/>
              <w:spacing w:line="240" w:lineRule="auto"/>
              <w:rPr>
                <w:rFonts w:hint="default"/>
                <w:sz w:val="21"/>
                <w:szCs w:val="21"/>
              </w:rPr>
            </w:pPr>
            <w:r>
              <w:rPr>
                <w:sz w:val="21"/>
                <w:szCs w:val="21"/>
              </w:rPr>
              <w:t>12.1 化学消毒后清洗</w:t>
            </w:r>
          </w:p>
          <w:p w14:paraId="732CCE81">
            <w:pPr>
              <w:pStyle w:val="8"/>
              <w:spacing w:line="240" w:lineRule="auto"/>
              <w:rPr>
                <w:rFonts w:hint="default"/>
                <w:sz w:val="21"/>
                <w:szCs w:val="21"/>
              </w:rPr>
            </w:pPr>
            <w:r>
              <w:rPr>
                <w:sz w:val="21"/>
                <w:szCs w:val="21"/>
              </w:rPr>
              <w:t>采用化学消毒方法后，须用清水将餐饮具上的残留消毒液清洗干净，并将清洗好的餐饮具倒放在专用货架上。</w:t>
            </w:r>
          </w:p>
          <w:p w14:paraId="2C607CAB">
            <w:pPr>
              <w:pStyle w:val="8"/>
              <w:spacing w:line="240" w:lineRule="auto"/>
              <w:rPr>
                <w:rFonts w:hint="default"/>
                <w:sz w:val="21"/>
                <w:szCs w:val="21"/>
              </w:rPr>
            </w:pPr>
            <w:r>
              <w:rPr>
                <w:sz w:val="21"/>
                <w:szCs w:val="21"/>
              </w:rPr>
              <w:t>12.2 消毒后贮存</w:t>
            </w:r>
          </w:p>
          <w:p w14:paraId="188677B6">
            <w:pPr>
              <w:pStyle w:val="8"/>
              <w:spacing w:line="240" w:lineRule="auto"/>
              <w:rPr>
                <w:rFonts w:hint="default"/>
                <w:sz w:val="21"/>
                <w:szCs w:val="21"/>
              </w:rPr>
            </w:pPr>
            <w:r>
              <w:rPr>
                <w:sz w:val="21"/>
                <w:szCs w:val="21"/>
              </w:rPr>
              <w:t>消毒后的餐具必须贮存在餐具专用保洁柜内或专用货架上，必要时盖上干净的纱布，避免遭受二次污染。存放时间超过24小时的餐饮具，在使用前须重新进行清洗消毒。</w:t>
            </w:r>
          </w:p>
          <w:p w14:paraId="2C212FEA">
            <w:pPr>
              <w:pStyle w:val="8"/>
              <w:spacing w:line="240" w:lineRule="auto"/>
              <w:rPr>
                <w:rFonts w:hint="default"/>
                <w:sz w:val="21"/>
                <w:szCs w:val="21"/>
              </w:rPr>
            </w:pPr>
            <w:r>
              <w:rPr>
                <w:sz w:val="21"/>
                <w:szCs w:val="21"/>
              </w:rPr>
              <w:t>12.3 洗涤剂标准</w:t>
            </w:r>
          </w:p>
          <w:p w14:paraId="656B4284">
            <w:pPr>
              <w:pStyle w:val="8"/>
              <w:spacing w:line="240" w:lineRule="auto"/>
              <w:rPr>
                <w:rFonts w:hint="default"/>
                <w:sz w:val="21"/>
                <w:szCs w:val="21"/>
              </w:rPr>
            </w:pPr>
            <w:r>
              <w:rPr>
                <w:sz w:val="21"/>
                <w:szCs w:val="21"/>
              </w:rPr>
              <w:t>洗涤和消毒餐具用的洗涤剂，必须符合食品洗涤剂的卫生标准和要求。</w:t>
            </w:r>
          </w:p>
          <w:p w14:paraId="6D674C0E">
            <w:pPr>
              <w:pStyle w:val="8"/>
              <w:spacing w:line="240" w:lineRule="auto"/>
              <w:rPr>
                <w:rFonts w:hint="default"/>
                <w:sz w:val="21"/>
                <w:szCs w:val="21"/>
              </w:rPr>
            </w:pPr>
            <w:r>
              <w:rPr>
                <w:sz w:val="21"/>
                <w:szCs w:val="21"/>
              </w:rPr>
              <w:t>12.4 消毒设备配置</w:t>
            </w:r>
          </w:p>
          <w:p w14:paraId="05F4C5FC">
            <w:pPr>
              <w:pStyle w:val="8"/>
              <w:spacing w:line="240" w:lineRule="auto"/>
              <w:rPr>
                <w:rFonts w:hint="default"/>
                <w:sz w:val="21"/>
                <w:szCs w:val="21"/>
              </w:rPr>
            </w:pPr>
            <w:r>
              <w:rPr>
                <w:sz w:val="21"/>
                <w:szCs w:val="21"/>
              </w:rPr>
              <w:t>应当设置消毒柜和保洁柜，并定期进行清洗，保持清洁卫生。</w:t>
            </w:r>
          </w:p>
          <w:p w14:paraId="38FED5A4">
            <w:pPr>
              <w:pStyle w:val="8"/>
              <w:spacing w:line="240" w:lineRule="auto"/>
              <w:rPr>
                <w:rFonts w:hint="default"/>
                <w:sz w:val="21"/>
                <w:szCs w:val="21"/>
              </w:rPr>
            </w:pPr>
            <w:r>
              <w:rPr>
                <w:sz w:val="21"/>
                <w:szCs w:val="21"/>
              </w:rPr>
              <w:t>12.5 消毒与未消毒分开</w:t>
            </w:r>
          </w:p>
          <w:p w14:paraId="391CAE36">
            <w:pPr>
              <w:pStyle w:val="8"/>
              <w:spacing w:line="240" w:lineRule="auto"/>
              <w:rPr>
                <w:rFonts w:hint="default"/>
                <w:sz w:val="21"/>
                <w:szCs w:val="21"/>
              </w:rPr>
            </w:pPr>
            <w:r>
              <w:rPr>
                <w:sz w:val="21"/>
                <w:szCs w:val="21"/>
              </w:rPr>
              <w:t>已消毒的餐具和未消毒的餐具应当分开存放，并在餐具贮存柜上设有明显标识以示区分。</w:t>
            </w:r>
          </w:p>
          <w:p w14:paraId="2CE5713D">
            <w:pPr>
              <w:pStyle w:val="8"/>
              <w:spacing w:line="240" w:lineRule="auto"/>
              <w:rPr>
                <w:rFonts w:hint="default"/>
                <w:b/>
                <w:bCs/>
                <w:sz w:val="21"/>
                <w:szCs w:val="21"/>
              </w:rPr>
            </w:pPr>
            <w:r>
              <w:rPr>
                <w:b/>
                <w:bCs/>
                <w:sz w:val="21"/>
                <w:szCs w:val="21"/>
              </w:rPr>
              <w:t>（十三）安全生产管理要求</w:t>
            </w:r>
          </w:p>
          <w:p w14:paraId="37F2F68B">
            <w:pPr>
              <w:pStyle w:val="8"/>
              <w:spacing w:line="240" w:lineRule="auto"/>
              <w:rPr>
                <w:rFonts w:hint="default"/>
                <w:sz w:val="21"/>
                <w:szCs w:val="21"/>
              </w:rPr>
            </w:pPr>
            <w:r>
              <w:rPr>
                <w:sz w:val="21"/>
                <w:szCs w:val="21"/>
              </w:rPr>
              <w:t>13.1 设备管理与检查</w:t>
            </w:r>
          </w:p>
          <w:p w14:paraId="28C68F51">
            <w:pPr>
              <w:pStyle w:val="8"/>
              <w:spacing w:line="240" w:lineRule="auto"/>
              <w:rPr>
                <w:rFonts w:hint="default"/>
                <w:sz w:val="21"/>
                <w:szCs w:val="21"/>
              </w:rPr>
            </w:pPr>
            <w:r>
              <w:rPr>
                <w:sz w:val="21"/>
                <w:szCs w:val="21"/>
              </w:rPr>
              <w:t>各种设备均由专人负责管理及操作，每周应检查厨房的各种设施设备，及时发现和消除安全隐患。</w:t>
            </w:r>
          </w:p>
          <w:p w14:paraId="03B07384">
            <w:pPr>
              <w:pStyle w:val="8"/>
              <w:spacing w:line="240" w:lineRule="auto"/>
              <w:rPr>
                <w:rFonts w:hint="default"/>
                <w:sz w:val="21"/>
                <w:szCs w:val="21"/>
              </w:rPr>
            </w:pPr>
            <w:r>
              <w:rPr>
                <w:sz w:val="21"/>
                <w:szCs w:val="21"/>
              </w:rPr>
              <w:t>13.2 油炸作业安全</w:t>
            </w:r>
          </w:p>
          <w:p w14:paraId="7966190D">
            <w:pPr>
              <w:pStyle w:val="8"/>
              <w:spacing w:line="240" w:lineRule="auto"/>
              <w:rPr>
                <w:rFonts w:hint="default"/>
                <w:sz w:val="21"/>
                <w:szCs w:val="21"/>
              </w:rPr>
            </w:pPr>
            <w:r>
              <w:rPr>
                <w:sz w:val="21"/>
                <w:szCs w:val="21"/>
              </w:rPr>
              <w:t>进行油炸食品时，油锅搁置要平稳，油不能过满，并严格控制好油温。</w:t>
            </w:r>
          </w:p>
          <w:p w14:paraId="27F27A09">
            <w:pPr>
              <w:pStyle w:val="8"/>
              <w:spacing w:line="240" w:lineRule="auto"/>
              <w:rPr>
                <w:rFonts w:hint="default"/>
                <w:sz w:val="21"/>
                <w:szCs w:val="21"/>
              </w:rPr>
            </w:pPr>
            <w:r>
              <w:rPr>
                <w:sz w:val="21"/>
                <w:szCs w:val="21"/>
              </w:rPr>
              <w:t>13.3 加热过程值守</w:t>
            </w:r>
          </w:p>
          <w:p w14:paraId="37222600">
            <w:pPr>
              <w:pStyle w:val="8"/>
              <w:spacing w:line="240" w:lineRule="auto"/>
              <w:rPr>
                <w:rFonts w:hint="default"/>
                <w:sz w:val="21"/>
                <w:szCs w:val="21"/>
              </w:rPr>
            </w:pPr>
            <w:r>
              <w:rPr>
                <w:sz w:val="21"/>
                <w:szCs w:val="21"/>
              </w:rPr>
              <w:t>炉灶在加热食物阶段，必须有人看管，人员离开时必须关火或关电。</w:t>
            </w:r>
          </w:p>
          <w:p w14:paraId="424ABB95">
            <w:pPr>
              <w:pStyle w:val="8"/>
              <w:spacing w:line="240" w:lineRule="auto"/>
              <w:rPr>
                <w:rFonts w:hint="default"/>
                <w:sz w:val="21"/>
                <w:szCs w:val="21"/>
              </w:rPr>
            </w:pPr>
            <w:r>
              <w:rPr>
                <w:sz w:val="21"/>
                <w:szCs w:val="21"/>
              </w:rPr>
              <w:t>13.4 炉灶与可燃物隔离</w:t>
            </w:r>
          </w:p>
          <w:p w14:paraId="4E1D8552">
            <w:pPr>
              <w:pStyle w:val="8"/>
              <w:spacing w:line="240" w:lineRule="auto"/>
              <w:rPr>
                <w:rFonts w:hint="default"/>
                <w:sz w:val="21"/>
                <w:szCs w:val="21"/>
              </w:rPr>
            </w:pPr>
            <w:r>
              <w:rPr>
                <w:sz w:val="21"/>
                <w:szCs w:val="21"/>
              </w:rPr>
              <w:t>炉灶在点火时和使用中，都必须远离可燃物或使用阻燃物将其隔开。</w:t>
            </w:r>
          </w:p>
          <w:p w14:paraId="1D0FB3A2">
            <w:pPr>
              <w:pStyle w:val="8"/>
              <w:spacing w:line="240" w:lineRule="auto"/>
              <w:rPr>
                <w:rFonts w:hint="default"/>
                <w:sz w:val="21"/>
                <w:szCs w:val="21"/>
              </w:rPr>
            </w:pPr>
            <w:r>
              <w:rPr>
                <w:sz w:val="21"/>
                <w:szCs w:val="21"/>
              </w:rPr>
              <w:t>13.5 消防器材配备</w:t>
            </w:r>
          </w:p>
          <w:p w14:paraId="60C9AD28">
            <w:pPr>
              <w:pStyle w:val="8"/>
              <w:spacing w:line="240" w:lineRule="auto"/>
              <w:rPr>
                <w:rFonts w:hint="default"/>
                <w:sz w:val="21"/>
                <w:szCs w:val="21"/>
              </w:rPr>
            </w:pPr>
            <w:r>
              <w:rPr>
                <w:sz w:val="21"/>
                <w:szCs w:val="21"/>
              </w:rPr>
              <w:t>现场须按照消防要求配备干粉灭火器，并定期检查及更换已过期的灭火器。</w:t>
            </w:r>
          </w:p>
          <w:p w14:paraId="0351B5EA">
            <w:pPr>
              <w:pStyle w:val="8"/>
              <w:spacing w:line="240" w:lineRule="auto"/>
              <w:rPr>
                <w:rFonts w:hint="default"/>
                <w:sz w:val="21"/>
                <w:szCs w:val="21"/>
              </w:rPr>
            </w:pPr>
            <w:r>
              <w:rPr>
                <w:sz w:val="21"/>
                <w:szCs w:val="21"/>
              </w:rPr>
              <w:t>13.6 燃气区域禁火</w:t>
            </w:r>
          </w:p>
          <w:p w14:paraId="34B50625">
            <w:pPr>
              <w:pStyle w:val="8"/>
              <w:spacing w:line="240" w:lineRule="auto"/>
              <w:rPr>
                <w:rFonts w:hint="default"/>
                <w:sz w:val="21"/>
                <w:szCs w:val="21"/>
              </w:rPr>
            </w:pPr>
            <w:r>
              <w:rPr>
                <w:sz w:val="21"/>
                <w:szCs w:val="21"/>
              </w:rPr>
              <w:t>煤气和液化气贮存区域严禁使用明火。</w:t>
            </w:r>
          </w:p>
          <w:p w14:paraId="185F3D3B">
            <w:pPr>
              <w:pStyle w:val="8"/>
              <w:spacing w:line="240" w:lineRule="auto"/>
              <w:rPr>
                <w:rFonts w:hint="default"/>
                <w:sz w:val="21"/>
                <w:szCs w:val="21"/>
              </w:rPr>
            </w:pPr>
            <w:r>
              <w:rPr>
                <w:sz w:val="21"/>
                <w:szCs w:val="21"/>
              </w:rPr>
              <w:t>13.7 火灾应急处置</w:t>
            </w:r>
          </w:p>
          <w:p w14:paraId="75B3718F">
            <w:pPr>
              <w:pStyle w:val="8"/>
              <w:spacing w:line="240" w:lineRule="auto"/>
              <w:rPr>
                <w:rFonts w:hint="default"/>
                <w:sz w:val="21"/>
                <w:szCs w:val="21"/>
              </w:rPr>
            </w:pPr>
            <w:r>
              <w:rPr>
                <w:sz w:val="21"/>
                <w:szCs w:val="21"/>
              </w:rPr>
              <w:t>厨房发生火灾时，应立即关闭气阀和电源，并组织人员进行灭火。油锅起火时，切忌使用水进行灭火，应使用灭火毯或干粉灭火器进行灭火，并及时抢救受损物资。</w:t>
            </w:r>
          </w:p>
          <w:p w14:paraId="55A66E21">
            <w:pPr>
              <w:pStyle w:val="8"/>
              <w:spacing w:line="240" w:lineRule="auto"/>
              <w:rPr>
                <w:rFonts w:hint="default"/>
                <w:sz w:val="21"/>
                <w:szCs w:val="21"/>
              </w:rPr>
            </w:pPr>
            <w:r>
              <w:rPr>
                <w:sz w:val="21"/>
                <w:szCs w:val="21"/>
              </w:rPr>
              <w:t>13.8 节能安全</w:t>
            </w:r>
          </w:p>
          <w:p w14:paraId="1A124FD2">
            <w:pPr>
              <w:pStyle w:val="8"/>
              <w:spacing w:line="240" w:lineRule="auto"/>
              <w:rPr>
                <w:rFonts w:hint="default"/>
                <w:sz w:val="21"/>
                <w:szCs w:val="21"/>
              </w:rPr>
            </w:pPr>
            <w:r>
              <w:rPr>
                <w:sz w:val="21"/>
                <w:szCs w:val="21"/>
              </w:rPr>
              <w:t>及时关灯、关汽、关水、关煤气，降低能耗。</w:t>
            </w:r>
          </w:p>
          <w:p w14:paraId="72C10BEC">
            <w:pPr>
              <w:pStyle w:val="8"/>
              <w:spacing w:line="240" w:lineRule="auto"/>
              <w:rPr>
                <w:rFonts w:hint="default"/>
                <w:sz w:val="21"/>
                <w:szCs w:val="21"/>
              </w:rPr>
            </w:pPr>
            <w:r>
              <w:rPr>
                <w:sz w:val="21"/>
                <w:szCs w:val="21"/>
              </w:rPr>
              <w:t>13.9 燃气用电安全</w:t>
            </w:r>
          </w:p>
          <w:p w14:paraId="2DA8EBEF">
            <w:pPr>
              <w:pStyle w:val="8"/>
              <w:spacing w:line="240" w:lineRule="auto"/>
              <w:rPr>
                <w:rFonts w:hint="default"/>
                <w:sz w:val="21"/>
                <w:szCs w:val="21"/>
              </w:rPr>
            </w:pPr>
            <w:r>
              <w:rPr>
                <w:sz w:val="21"/>
                <w:szCs w:val="21"/>
              </w:rPr>
              <w:t>要安全使用燃气和电，做好安全防火工作。</w:t>
            </w:r>
          </w:p>
          <w:p w14:paraId="5915600A">
            <w:pPr>
              <w:pStyle w:val="8"/>
              <w:spacing w:line="240" w:lineRule="auto"/>
              <w:rPr>
                <w:rFonts w:hint="default"/>
                <w:b/>
                <w:bCs/>
                <w:sz w:val="21"/>
                <w:szCs w:val="21"/>
              </w:rPr>
            </w:pPr>
            <w:r>
              <w:rPr>
                <w:b/>
                <w:bCs/>
                <w:sz w:val="21"/>
                <w:szCs w:val="21"/>
              </w:rPr>
              <w:t>（十四）应急、投诉与满意度管理</w:t>
            </w:r>
          </w:p>
          <w:p w14:paraId="1C501C3D">
            <w:pPr>
              <w:pStyle w:val="8"/>
              <w:spacing w:line="240" w:lineRule="auto"/>
              <w:rPr>
                <w:rFonts w:hint="default"/>
                <w:sz w:val="21"/>
                <w:szCs w:val="21"/>
              </w:rPr>
            </w:pPr>
            <w:r>
              <w:rPr>
                <w:sz w:val="21"/>
                <w:szCs w:val="21"/>
              </w:rPr>
              <w:t>14.1 食品安全事故责任</w:t>
            </w:r>
          </w:p>
          <w:p w14:paraId="4533DB4F">
            <w:pPr>
              <w:pStyle w:val="8"/>
              <w:spacing w:line="240" w:lineRule="auto"/>
              <w:rPr>
                <w:rFonts w:hint="default"/>
                <w:sz w:val="21"/>
                <w:szCs w:val="21"/>
              </w:rPr>
            </w:pPr>
            <w:r>
              <w:rPr>
                <w:sz w:val="21"/>
                <w:szCs w:val="21"/>
              </w:rPr>
              <w:t>如因食用由中标人配送的餐食造成腹泻、过敏、食物中毒等食品安全事故（经国家卫生部门鉴定属中标人责任的），所有的法律责任和经济损失由中标人全部负责。若由于病人餐的饮食安全问题导致采购人牵连受损，采购人有权要求中标人进行相应的赔偿。</w:t>
            </w:r>
          </w:p>
          <w:p w14:paraId="1F207531">
            <w:pPr>
              <w:pStyle w:val="8"/>
              <w:spacing w:line="240" w:lineRule="auto"/>
              <w:rPr>
                <w:rFonts w:hint="default"/>
                <w:sz w:val="21"/>
                <w:szCs w:val="21"/>
              </w:rPr>
            </w:pPr>
            <w:r>
              <w:rPr>
                <w:sz w:val="21"/>
                <w:szCs w:val="21"/>
              </w:rPr>
              <w:t>14.2 投诉处理时限与反馈</w:t>
            </w:r>
          </w:p>
          <w:p w14:paraId="1B990450">
            <w:pPr>
              <w:pStyle w:val="8"/>
              <w:spacing w:line="240" w:lineRule="auto"/>
              <w:rPr>
                <w:rFonts w:hint="default"/>
                <w:sz w:val="21"/>
                <w:szCs w:val="21"/>
              </w:rPr>
            </w:pPr>
            <w:r>
              <w:rPr>
                <w:sz w:val="21"/>
                <w:szCs w:val="21"/>
              </w:rPr>
              <w:t>面对职工的合理投诉，中标人应在收到投诉的24小时内向投诉人员进行反馈。</w:t>
            </w:r>
          </w:p>
          <w:p w14:paraId="37E2CD69">
            <w:pPr>
              <w:pStyle w:val="8"/>
              <w:spacing w:line="240" w:lineRule="auto"/>
              <w:rPr>
                <w:rFonts w:hint="default"/>
                <w:sz w:val="21"/>
                <w:szCs w:val="21"/>
              </w:rPr>
            </w:pPr>
            <w:r>
              <w:rPr>
                <w:sz w:val="21"/>
                <w:szCs w:val="21"/>
              </w:rPr>
              <w:t>14.3 投诉书面记录与备案</w:t>
            </w:r>
          </w:p>
          <w:p w14:paraId="7DD8362F">
            <w:pPr>
              <w:pStyle w:val="8"/>
              <w:spacing w:line="240" w:lineRule="auto"/>
              <w:rPr>
                <w:rFonts w:hint="default"/>
                <w:sz w:val="21"/>
                <w:szCs w:val="21"/>
              </w:rPr>
            </w:pPr>
            <w:r>
              <w:rPr>
                <w:sz w:val="21"/>
                <w:szCs w:val="21"/>
              </w:rPr>
              <w:t>中标人应对投诉进行书面记录，分析原因并提出解决措施，并在3个工作日内将相关材料交至采购人备案。</w:t>
            </w:r>
          </w:p>
          <w:p w14:paraId="411FAD3D">
            <w:pPr>
              <w:pStyle w:val="8"/>
              <w:spacing w:line="240" w:lineRule="auto"/>
              <w:rPr>
                <w:rFonts w:hint="default"/>
                <w:sz w:val="21"/>
                <w:szCs w:val="21"/>
              </w:rPr>
            </w:pPr>
            <w:r>
              <w:rPr>
                <w:sz w:val="21"/>
                <w:szCs w:val="21"/>
              </w:rPr>
              <w:t>14.4 就餐满意度调查</w:t>
            </w:r>
          </w:p>
          <w:p w14:paraId="2152F67E">
            <w:pPr>
              <w:pStyle w:val="8"/>
              <w:spacing w:line="240" w:lineRule="auto"/>
              <w:rPr>
                <w:rFonts w:hint="default"/>
                <w:sz w:val="21"/>
                <w:szCs w:val="21"/>
              </w:rPr>
            </w:pPr>
            <w:r>
              <w:rPr>
                <w:sz w:val="21"/>
                <w:szCs w:val="21"/>
              </w:rPr>
              <w:t>中标人需每月进行职工餐就餐满意度调查，可采用纸质版、网络版、手机软件等方式进行。满意度调查结果应当按照实际情况反馈给采购人。满意度调查的样本量不低于就餐总人数的百分之14.5总体满意度不得低于70%。调查内容由中标人拟定，经采购人审核通过后方可实施。</w:t>
            </w:r>
          </w:p>
          <w:p w14:paraId="5CD63586">
            <w:pPr>
              <w:adjustRightInd w:val="0"/>
              <w:snapToGrid w:val="0"/>
              <w:spacing w:line="240" w:lineRule="auto"/>
              <w:rPr>
                <w:b/>
                <w:bCs/>
                <w:sz w:val="21"/>
                <w:szCs w:val="21"/>
              </w:rPr>
            </w:pPr>
            <w:r>
              <w:rPr>
                <w:rFonts w:hint="eastAsia"/>
                <w:b/>
                <w:bCs/>
                <w:sz w:val="21"/>
                <w:szCs w:val="21"/>
              </w:rPr>
              <w:t>（十五）服务标准</w:t>
            </w:r>
          </w:p>
          <w:p w14:paraId="5674E610">
            <w:pPr>
              <w:adjustRightInd w:val="0"/>
              <w:snapToGrid w:val="0"/>
              <w:spacing w:line="240" w:lineRule="auto"/>
              <w:rPr>
                <w:sz w:val="21"/>
                <w:szCs w:val="21"/>
              </w:rPr>
            </w:pPr>
            <w:r>
              <w:rPr>
                <w:rFonts w:hint="eastAsia"/>
                <w:sz w:val="21"/>
                <w:szCs w:val="21"/>
              </w:rPr>
              <w:t>15.1服务内容及作业标准一</w:t>
            </w:r>
          </w:p>
          <w:tbl>
            <w:tblPr>
              <w:tblStyle w:val="14"/>
              <w:tblW w:w="7778" w:type="dxa"/>
              <w:jc w:val="center"/>
              <w:tblLayout w:type="fixed"/>
              <w:tblCellMar>
                <w:top w:w="0" w:type="dxa"/>
                <w:left w:w="108" w:type="dxa"/>
                <w:bottom w:w="0" w:type="dxa"/>
                <w:right w:w="108" w:type="dxa"/>
              </w:tblCellMar>
            </w:tblPr>
            <w:tblGrid>
              <w:gridCol w:w="590"/>
              <w:gridCol w:w="1958"/>
              <w:gridCol w:w="920"/>
              <w:gridCol w:w="2089"/>
              <w:gridCol w:w="2221"/>
            </w:tblGrid>
            <w:tr w14:paraId="17BFF4E5">
              <w:tblPrEx>
                <w:tblCellMar>
                  <w:top w:w="0" w:type="dxa"/>
                  <w:left w:w="108" w:type="dxa"/>
                  <w:bottom w:w="0" w:type="dxa"/>
                  <w:right w:w="108" w:type="dxa"/>
                </w:tblCellMar>
              </w:tblPrEx>
              <w:trPr>
                <w:trHeight w:val="348" w:hRule="atLeast"/>
                <w:jc w:val="center"/>
              </w:trPr>
              <w:tc>
                <w:tcPr>
                  <w:tcW w:w="2548" w:type="dxa"/>
                  <w:gridSpan w:val="2"/>
                  <w:vMerge w:val="restart"/>
                  <w:vAlign w:val="center"/>
                </w:tcPr>
                <w:p w14:paraId="4C90DAA6">
                  <w:pPr>
                    <w:adjustRightInd w:val="0"/>
                    <w:snapToGrid w:val="0"/>
                    <w:spacing w:line="240" w:lineRule="auto"/>
                    <w:jc w:val="center"/>
                    <w:rPr>
                      <w:sz w:val="21"/>
                      <w:szCs w:val="21"/>
                    </w:rPr>
                  </w:pPr>
                  <w:r>
                    <w:rPr>
                      <w:rFonts w:hint="eastAsia"/>
                      <w:sz w:val="21"/>
                      <w:szCs w:val="21"/>
                    </w:rPr>
                    <w:t>项目</w:t>
                  </w:r>
                </w:p>
              </w:tc>
              <w:tc>
                <w:tcPr>
                  <w:tcW w:w="3009" w:type="dxa"/>
                  <w:gridSpan w:val="2"/>
                  <w:vAlign w:val="center"/>
                </w:tcPr>
                <w:p w14:paraId="3FAC0919">
                  <w:pPr>
                    <w:adjustRightInd w:val="0"/>
                    <w:snapToGrid w:val="0"/>
                    <w:spacing w:line="240" w:lineRule="auto"/>
                    <w:jc w:val="center"/>
                    <w:rPr>
                      <w:sz w:val="21"/>
                      <w:szCs w:val="21"/>
                    </w:rPr>
                  </w:pPr>
                  <w:r>
                    <w:rPr>
                      <w:rFonts w:hint="eastAsia"/>
                      <w:sz w:val="21"/>
                      <w:szCs w:val="21"/>
                    </w:rPr>
                    <w:t>日常维修周期及内容</w:t>
                  </w:r>
                </w:p>
              </w:tc>
              <w:tc>
                <w:tcPr>
                  <w:tcW w:w="2221" w:type="dxa"/>
                  <w:vMerge w:val="restart"/>
                  <w:vAlign w:val="center"/>
                </w:tcPr>
                <w:p w14:paraId="183CF749">
                  <w:pPr>
                    <w:adjustRightInd w:val="0"/>
                    <w:snapToGrid w:val="0"/>
                    <w:spacing w:line="240" w:lineRule="auto"/>
                    <w:jc w:val="center"/>
                    <w:rPr>
                      <w:sz w:val="21"/>
                      <w:szCs w:val="21"/>
                    </w:rPr>
                  </w:pPr>
                  <w:r>
                    <w:rPr>
                      <w:rFonts w:hint="eastAsia"/>
                      <w:sz w:val="21"/>
                      <w:szCs w:val="21"/>
                    </w:rPr>
                    <w:t>标准</w:t>
                  </w:r>
                </w:p>
              </w:tc>
            </w:tr>
            <w:tr w14:paraId="42E5D456">
              <w:tblPrEx>
                <w:tblCellMar>
                  <w:top w:w="0" w:type="dxa"/>
                  <w:left w:w="108" w:type="dxa"/>
                  <w:bottom w:w="0" w:type="dxa"/>
                  <w:right w:w="108" w:type="dxa"/>
                </w:tblCellMar>
              </w:tblPrEx>
              <w:trPr>
                <w:trHeight w:val="348" w:hRule="atLeast"/>
                <w:jc w:val="center"/>
              </w:trPr>
              <w:tc>
                <w:tcPr>
                  <w:tcW w:w="2548" w:type="dxa"/>
                  <w:gridSpan w:val="2"/>
                  <w:vMerge w:val="continue"/>
                  <w:vAlign w:val="center"/>
                </w:tcPr>
                <w:p w14:paraId="065BB34B">
                  <w:pPr>
                    <w:adjustRightInd w:val="0"/>
                    <w:snapToGrid w:val="0"/>
                    <w:spacing w:line="240" w:lineRule="auto"/>
                    <w:jc w:val="center"/>
                    <w:rPr>
                      <w:sz w:val="21"/>
                      <w:szCs w:val="21"/>
                    </w:rPr>
                  </w:pPr>
                </w:p>
              </w:tc>
              <w:tc>
                <w:tcPr>
                  <w:tcW w:w="920" w:type="dxa"/>
                  <w:vAlign w:val="center"/>
                </w:tcPr>
                <w:p w14:paraId="3FFC9013">
                  <w:pPr>
                    <w:adjustRightInd w:val="0"/>
                    <w:snapToGrid w:val="0"/>
                    <w:spacing w:line="240" w:lineRule="auto"/>
                    <w:jc w:val="center"/>
                    <w:rPr>
                      <w:sz w:val="21"/>
                      <w:szCs w:val="21"/>
                    </w:rPr>
                  </w:pPr>
                  <w:r>
                    <w:rPr>
                      <w:rFonts w:hint="eastAsia"/>
                      <w:sz w:val="21"/>
                      <w:szCs w:val="21"/>
                    </w:rPr>
                    <w:t>检查周期</w:t>
                  </w:r>
                </w:p>
              </w:tc>
              <w:tc>
                <w:tcPr>
                  <w:tcW w:w="2089" w:type="dxa"/>
                  <w:vAlign w:val="center"/>
                </w:tcPr>
                <w:p w14:paraId="10178384">
                  <w:pPr>
                    <w:adjustRightInd w:val="0"/>
                    <w:snapToGrid w:val="0"/>
                    <w:spacing w:line="240" w:lineRule="auto"/>
                    <w:jc w:val="center"/>
                    <w:rPr>
                      <w:sz w:val="21"/>
                      <w:szCs w:val="21"/>
                    </w:rPr>
                  </w:pPr>
                  <w:r>
                    <w:rPr>
                      <w:rFonts w:hint="eastAsia"/>
                      <w:sz w:val="21"/>
                      <w:szCs w:val="21"/>
                    </w:rPr>
                    <w:t>内容</w:t>
                  </w:r>
                </w:p>
              </w:tc>
              <w:tc>
                <w:tcPr>
                  <w:tcW w:w="2221" w:type="dxa"/>
                  <w:vMerge w:val="continue"/>
                  <w:vAlign w:val="center"/>
                </w:tcPr>
                <w:p w14:paraId="09ED59FF">
                  <w:pPr>
                    <w:adjustRightInd w:val="0"/>
                    <w:snapToGrid w:val="0"/>
                    <w:spacing w:line="240" w:lineRule="auto"/>
                    <w:jc w:val="center"/>
                    <w:rPr>
                      <w:sz w:val="21"/>
                      <w:szCs w:val="21"/>
                    </w:rPr>
                  </w:pPr>
                </w:p>
              </w:tc>
            </w:tr>
            <w:tr w14:paraId="6CE44BBF">
              <w:tblPrEx>
                <w:tblCellMar>
                  <w:top w:w="0" w:type="dxa"/>
                  <w:left w:w="108" w:type="dxa"/>
                  <w:bottom w:w="0" w:type="dxa"/>
                  <w:right w:w="108" w:type="dxa"/>
                </w:tblCellMar>
              </w:tblPrEx>
              <w:trPr>
                <w:trHeight w:val="348" w:hRule="atLeast"/>
                <w:jc w:val="center"/>
              </w:trPr>
              <w:tc>
                <w:tcPr>
                  <w:tcW w:w="590" w:type="dxa"/>
                  <w:vMerge w:val="restart"/>
                  <w:vAlign w:val="center"/>
                </w:tcPr>
                <w:p w14:paraId="2B14B302">
                  <w:pPr>
                    <w:adjustRightInd w:val="0"/>
                    <w:snapToGrid w:val="0"/>
                    <w:spacing w:line="240" w:lineRule="auto"/>
                    <w:jc w:val="center"/>
                    <w:rPr>
                      <w:sz w:val="21"/>
                      <w:szCs w:val="21"/>
                    </w:rPr>
                  </w:pPr>
                  <w:r>
                    <w:rPr>
                      <w:rFonts w:hint="eastAsia"/>
                      <w:sz w:val="21"/>
                      <w:szCs w:val="21"/>
                    </w:rPr>
                    <w:t>设</w:t>
                  </w:r>
                </w:p>
                <w:p w14:paraId="7A73ABB3">
                  <w:pPr>
                    <w:adjustRightInd w:val="0"/>
                    <w:snapToGrid w:val="0"/>
                    <w:spacing w:line="240" w:lineRule="auto"/>
                    <w:jc w:val="center"/>
                    <w:rPr>
                      <w:sz w:val="21"/>
                      <w:szCs w:val="21"/>
                    </w:rPr>
                  </w:pPr>
                  <w:r>
                    <w:rPr>
                      <w:rFonts w:hint="eastAsia"/>
                      <w:sz w:val="21"/>
                      <w:szCs w:val="21"/>
                    </w:rPr>
                    <w:t>施</w:t>
                  </w:r>
                </w:p>
                <w:p w14:paraId="63FDE107">
                  <w:pPr>
                    <w:adjustRightInd w:val="0"/>
                    <w:snapToGrid w:val="0"/>
                    <w:spacing w:line="240" w:lineRule="auto"/>
                    <w:jc w:val="center"/>
                    <w:rPr>
                      <w:sz w:val="21"/>
                      <w:szCs w:val="21"/>
                    </w:rPr>
                  </w:pPr>
                  <w:r>
                    <w:rPr>
                      <w:rFonts w:hint="eastAsia"/>
                      <w:sz w:val="21"/>
                      <w:szCs w:val="21"/>
                    </w:rPr>
                    <w:t>及</w:t>
                  </w:r>
                </w:p>
                <w:p w14:paraId="57320E93">
                  <w:pPr>
                    <w:adjustRightInd w:val="0"/>
                    <w:snapToGrid w:val="0"/>
                    <w:spacing w:line="240" w:lineRule="auto"/>
                    <w:jc w:val="center"/>
                    <w:rPr>
                      <w:sz w:val="21"/>
                      <w:szCs w:val="21"/>
                    </w:rPr>
                  </w:pPr>
                  <w:r>
                    <w:rPr>
                      <w:rFonts w:hint="eastAsia"/>
                      <w:sz w:val="21"/>
                      <w:szCs w:val="21"/>
                    </w:rPr>
                    <w:t>日</w:t>
                  </w:r>
                </w:p>
                <w:p w14:paraId="5530E70F">
                  <w:pPr>
                    <w:adjustRightInd w:val="0"/>
                    <w:snapToGrid w:val="0"/>
                    <w:spacing w:line="240" w:lineRule="auto"/>
                    <w:jc w:val="center"/>
                    <w:rPr>
                      <w:sz w:val="21"/>
                      <w:szCs w:val="21"/>
                    </w:rPr>
                  </w:pPr>
                  <w:r>
                    <w:rPr>
                      <w:rFonts w:hint="eastAsia"/>
                      <w:sz w:val="21"/>
                      <w:szCs w:val="21"/>
                    </w:rPr>
                    <w:t>常</w:t>
                  </w:r>
                </w:p>
                <w:p w14:paraId="1BA4140F">
                  <w:pPr>
                    <w:adjustRightInd w:val="0"/>
                    <w:snapToGrid w:val="0"/>
                    <w:spacing w:line="240" w:lineRule="auto"/>
                    <w:jc w:val="center"/>
                    <w:rPr>
                      <w:sz w:val="21"/>
                      <w:szCs w:val="21"/>
                    </w:rPr>
                  </w:pPr>
                  <w:r>
                    <w:rPr>
                      <w:rFonts w:hint="eastAsia"/>
                      <w:sz w:val="21"/>
                      <w:szCs w:val="21"/>
                    </w:rPr>
                    <w:t>操</w:t>
                  </w:r>
                </w:p>
                <w:p w14:paraId="382737A7">
                  <w:pPr>
                    <w:adjustRightInd w:val="0"/>
                    <w:snapToGrid w:val="0"/>
                    <w:spacing w:line="240" w:lineRule="auto"/>
                    <w:jc w:val="center"/>
                    <w:rPr>
                      <w:sz w:val="21"/>
                      <w:szCs w:val="21"/>
                    </w:rPr>
                  </w:pPr>
                  <w:r>
                    <w:rPr>
                      <w:rFonts w:hint="eastAsia"/>
                      <w:sz w:val="21"/>
                      <w:szCs w:val="21"/>
                    </w:rPr>
                    <w:t>作</w:t>
                  </w:r>
                </w:p>
              </w:tc>
              <w:tc>
                <w:tcPr>
                  <w:tcW w:w="1958" w:type="dxa"/>
                  <w:vAlign w:val="center"/>
                </w:tcPr>
                <w:p w14:paraId="1AACC61F">
                  <w:pPr>
                    <w:adjustRightInd w:val="0"/>
                    <w:snapToGrid w:val="0"/>
                    <w:spacing w:line="240" w:lineRule="auto"/>
                    <w:jc w:val="center"/>
                    <w:rPr>
                      <w:sz w:val="21"/>
                      <w:szCs w:val="21"/>
                    </w:rPr>
                  </w:pPr>
                  <w:r>
                    <w:rPr>
                      <w:rFonts w:hint="eastAsia"/>
                      <w:sz w:val="21"/>
                      <w:szCs w:val="21"/>
                    </w:rPr>
                    <w:t>厨具、饮具、餐具</w:t>
                  </w:r>
                </w:p>
              </w:tc>
              <w:tc>
                <w:tcPr>
                  <w:tcW w:w="920" w:type="dxa"/>
                  <w:vAlign w:val="center"/>
                </w:tcPr>
                <w:p w14:paraId="5708A0D6">
                  <w:pPr>
                    <w:adjustRightInd w:val="0"/>
                    <w:snapToGrid w:val="0"/>
                    <w:spacing w:line="240" w:lineRule="auto"/>
                    <w:jc w:val="center"/>
                    <w:rPr>
                      <w:sz w:val="21"/>
                      <w:szCs w:val="21"/>
                    </w:rPr>
                  </w:pPr>
                  <w:r>
                    <w:rPr>
                      <w:rFonts w:hint="eastAsia"/>
                      <w:sz w:val="21"/>
                      <w:szCs w:val="21"/>
                    </w:rPr>
                    <w:t>2次/日</w:t>
                  </w:r>
                </w:p>
              </w:tc>
              <w:tc>
                <w:tcPr>
                  <w:tcW w:w="2089" w:type="dxa"/>
                  <w:vAlign w:val="center"/>
                </w:tcPr>
                <w:p w14:paraId="43436D11">
                  <w:pPr>
                    <w:adjustRightInd w:val="0"/>
                    <w:snapToGrid w:val="0"/>
                    <w:spacing w:line="240" w:lineRule="auto"/>
                    <w:jc w:val="center"/>
                    <w:rPr>
                      <w:sz w:val="21"/>
                      <w:szCs w:val="21"/>
                    </w:rPr>
                  </w:pPr>
                  <w:r>
                    <w:rPr>
                      <w:rFonts w:hint="eastAsia"/>
                      <w:sz w:val="21"/>
                      <w:szCs w:val="21"/>
                    </w:rPr>
                    <w:t>清洗消毒</w:t>
                  </w:r>
                </w:p>
              </w:tc>
              <w:tc>
                <w:tcPr>
                  <w:tcW w:w="2221" w:type="dxa"/>
                  <w:vAlign w:val="center"/>
                </w:tcPr>
                <w:p w14:paraId="227FCCCA">
                  <w:pPr>
                    <w:adjustRightInd w:val="0"/>
                    <w:snapToGrid w:val="0"/>
                    <w:spacing w:line="240" w:lineRule="auto"/>
                    <w:jc w:val="center"/>
                    <w:rPr>
                      <w:sz w:val="21"/>
                      <w:szCs w:val="21"/>
                    </w:rPr>
                  </w:pPr>
                  <w:r>
                    <w:rPr>
                      <w:rFonts w:hint="eastAsia"/>
                      <w:sz w:val="21"/>
                      <w:szCs w:val="21"/>
                    </w:rPr>
                    <w:t>清洁、无油腻、无水渍</w:t>
                  </w:r>
                </w:p>
              </w:tc>
            </w:tr>
            <w:tr w14:paraId="4F2E05C7">
              <w:tblPrEx>
                <w:tblCellMar>
                  <w:top w:w="0" w:type="dxa"/>
                  <w:left w:w="108" w:type="dxa"/>
                  <w:bottom w:w="0" w:type="dxa"/>
                  <w:right w:w="108" w:type="dxa"/>
                </w:tblCellMar>
              </w:tblPrEx>
              <w:trPr>
                <w:trHeight w:val="348" w:hRule="atLeast"/>
                <w:jc w:val="center"/>
              </w:trPr>
              <w:tc>
                <w:tcPr>
                  <w:tcW w:w="590" w:type="dxa"/>
                  <w:vMerge w:val="continue"/>
                  <w:vAlign w:val="center"/>
                </w:tcPr>
                <w:p w14:paraId="32CE52B0">
                  <w:pPr>
                    <w:adjustRightInd w:val="0"/>
                    <w:snapToGrid w:val="0"/>
                    <w:spacing w:line="240" w:lineRule="auto"/>
                    <w:jc w:val="center"/>
                    <w:rPr>
                      <w:sz w:val="21"/>
                      <w:szCs w:val="21"/>
                    </w:rPr>
                  </w:pPr>
                </w:p>
              </w:tc>
              <w:tc>
                <w:tcPr>
                  <w:tcW w:w="1958" w:type="dxa"/>
                  <w:vAlign w:val="center"/>
                </w:tcPr>
                <w:p w14:paraId="1CC2D7C4">
                  <w:pPr>
                    <w:adjustRightInd w:val="0"/>
                    <w:snapToGrid w:val="0"/>
                    <w:spacing w:line="240" w:lineRule="auto"/>
                    <w:jc w:val="center"/>
                    <w:rPr>
                      <w:sz w:val="21"/>
                      <w:szCs w:val="21"/>
                    </w:rPr>
                  </w:pPr>
                  <w:r>
                    <w:rPr>
                      <w:rFonts w:hint="eastAsia"/>
                      <w:sz w:val="21"/>
                      <w:szCs w:val="21"/>
                    </w:rPr>
                    <w:t>餐台</w:t>
                  </w:r>
                </w:p>
              </w:tc>
              <w:tc>
                <w:tcPr>
                  <w:tcW w:w="920" w:type="dxa"/>
                  <w:vAlign w:val="center"/>
                </w:tcPr>
                <w:p w14:paraId="5E9DE761">
                  <w:pPr>
                    <w:adjustRightInd w:val="0"/>
                    <w:snapToGrid w:val="0"/>
                    <w:spacing w:line="240" w:lineRule="auto"/>
                    <w:jc w:val="center"/>
                    <w:rPr>
                      <w:sz w:val="21"/>
                      <w:szCs w:val="21"/>
                    </w:rPr>
                  </w:pPr>
                  <w:r>
                    <w:rPr>
                      <w:rFonts w:hint="eastAsia"/>
                      <w:sz w:val="21"/>
                      <w:szCs w:val="21"/>
                    </w:rPr>
                    <w:t>2次/日</w:t>
                  </w:r>
                </w:p>
              </w:tc>
              <w:tc>
                <w:tcPr>
                  <w:tcW w:w="2089" w:type="dxa"/>
                  <w:vAlign w:val="center"/>
                </w:tcPr>
                <w:p w14:paraId="709BB6EA">
                  <w:pPr>
                    <w:adjustRightInd w:val="0"/>
                    <w:snapToGrid w:val="0"/>
                    <w:spacing w:line="240" w:lineRule="auto"/>
                    <w:jc w:val="center"/>
                    <w:rPr>
                      <w:sz w:val="21"/>
                      <w:szCs w:val="21"/>
                    </w:rPr>
                  </w:pPr>
                  <w:r>
                    <w:rPr>
                      <w:rFonts w:hint="eastAsia"/>
                      <w:sz w:val="21"/>
                      <w:szCs w:val="21"/>
                    </w:rPr>
                    <w:t>清洗消毒</w:t>
                  </w:r>
                </w:p>
              </w:tc>
              <w:tc>
                <w:tcPr>
                  <w:tcW w:w="2221" w:type="dxa"/>
                  <w:vAlign w:val="center"/>
                </w:tcPr>
                <w:p w14:paraId="47BAC743">
                  <w:pPr>
                    <w:adjustRightInd w:val="0"/>
                    <w:snapToGrid w:val="0"/>
                    <w:spacing w:line="240" w:lineRule="auto"/>
                    <w:jc w:val="center"/>
                    <w:rPr>
                      <w:sz w:val="21"/>
                      <w:szCs w:val="21"/>
                    </w:rPr>
                  </w:pPr>
                  <w:r>
                    <w:rPr>
                      <w:rFonts w:hint="eastAsia"/>
                      <w:sz w:val="21"/>
                      <w:szCs w:val="21"/>
                    </w:rPr>
                    <w:t>整洁、美观、无锈迹</w:t>
                  </w:r>
                </w:p>
              </w:tc>
            </w:tr>
            <w:tr w14:paraId="03D9C9F4">
              <w:tblPrEx>
                <w:tblCellMar>
                  <w:top w:w="0" w:type="dxa"/>
                  <w:left w:w="108" w:type="dxa"/>
                  <w:bottom w:w="0" w:type="dxa"/>
                  <w:right w:w="108" w:type="dxa"/>
                </w:tblCellMar>
              </w:tblPrEx>
              <w:trPr>
                <w:trHeight w:val="348" w:hRule="atLeast"/>
                <w:jc w:val="center"/>
              </w:trPr>
              <w:tc>
                <w:tcPr>
                  <w:tcW w:w="590" w:type="dxa"/>
                  <w:vMerge w:val="continue"/>
                  <w:vAlign w:val="center"/>
                </w:tcPr>
                <w:p w14:paraId="0DAB7E9A">
                  <w:pPr>
                    <w:adjustRightInd w:val="0"/>
                    <w:snapToGrid w:val="0"/>
                    <w:spacing w:line="240" w:lineRule="auto"/>
                    <w:jc w:val="center"/>
                    <w:rPr>
                      <w:sz w:val="21"/>
                      <w:szCs w:val="21"/>
                    </w:rPr>
                  </w:pPr>
                </w:p>
              </w:tc>
              <w:tc>
                <w:tcPr>
                  <w:tcW w:w="1958" w:type="dxa"/>
                  <w:vAlign w:val="center"/>
                </w:tcPr>
                <w:p w14:paraId="5FEA7969">
                  <w:pPr>
                    <w:adjustRightInd w:val="0"/>
                    <w:snapToGrid w:val="0"/>
                    <w:spacing w:line="240" w:lineRule="auto"/>
                    <w:jc w:val="center"/>
                    <w:rPr>
                      <w:sz w:val="21"/>
                      <w:szCs w:val="21"/>
                    </w:rPr>
                  </w:pPr>
                  <w:r>
                    <w:rPr>
                      <w:rFonts w:hint="eastAsia"/>
                      <w:sz w:val="21"/>
                      <w:szCs w:val="21"/>
                    </w:rPr>
                    <w:t>厨房沟渠、水池</w:t>
                  </w:r>
                </w:p>
              </w:tc>
              <w:tc>
                <w:tcPr>
                  <w:tcW w:w="920" w:type="dxa"/>
                  <w:vAlign w:val="center"/>
                </w:tcPr>
                <w:p w14:paraId="547BDC33">
                  <w:pPr>
                    <w:adjustRightInd w:val="0"/>
                    <w:snapToGrid w:val="0"/>
                    <w:spacing w:line="240" w:lineRule="auto"/>
                    <w:jc w:val="center"/>
                    <w:rPr>
                      <w:sz w:val="21"/>
                      <w:szCs w:val="21"/>
                    </w:rPr>
                  </w:pPr>
                  <w:r>
                    <w:rPr>
                      <w:rFonts w:hint="eastAsia"/>
                      <w:sz w:val="21"/>
                      <w:szCs w:val="21"/>
                    </w:rPr>
                    <w:t>2次/日</w:t>
                  </w:r>
                </w:p>
              </w:tc>
              <w:tc>
                <w:tcPr>
                  <w:tcW w:w="2089" w:type="dxa"/>
                  <w:vAlign w:val="center"/>
                </w:tcPr>
                <w:p w14:paraId="47A9776B">
                  <w:pPr>
                    <w:adjustRightInd w:val="0"/>
                    <w:snapToGrid w:val="0"/>
                    <w:spacing w:line="240" w:lineRule="auto"/>
                    <w:jc w:val="center"/>
                    <w:rPr>
                      <w:sz w:val="21"/>
                      <w:szCs w:val="21"/>
                    </w:rPr>
                  </w:pPr>
                  <w:r>
                    <w:rPr>
                      <w:rFonts w:hint="eastAsia"/>
                      <w:sz w:val="21"/>
                      <w:szCs w:val="21"/>
                    </w:rPr>
                    <w:t>检查、维修、疏通</w:t>
                  </w:r>
                </w:p>
              </w:tc>
              <w:tc>
                <w:tcPr>
                  <w:tcW w:w="2221" w:type="dxa"/>
                  <w:vAlign w:val="center"/>
                </w:tcPr>
                <w:p w14:paraId="6237E824">
                  <w:pPr>
                    <w:adjustRightInd w:val="0"/>
                    <w:snapToGrid w:val="0"/>
                    <w:spacing w:line="240" w:lineRule="auto"/>
                    <w:jc w:val="center"/>
                    <w:rPr>
                      <w:sz w:val="21"/>
                      <w:szCs w:val="21"/>
                    </w:rPr>
                  </w:pPr>
                  <w:r>
                    <w:rPr>
                      <w:rFonts w:hint="eastAsia"/>
                      <w:sz w:val="21"/>
                      <w:szCs w:val="21"/>
                    </w:rPr>
                    <w:t>畅通、无损坏</w:t>
                  </w:r>
                </w:p>
              </w:tc>
            </w:tr>
            <w:tr w14:paraId="62D7417B">
              <w:tblPrEx>
                <w:tblCellMar>
                  <w:top w:w="0" w:type="dxa"/>
                  <w:left w:w="108" w:type="dxa"/>
                  <w:bottom w:w="0" w:type="dxa"/>
                  <w:right w:w="108" w:type="dxa"/>
                </w:tblCellMar>
              </w:tblPrEx>
              <w:trPr>
                <w:trHeight w:val="348" w:hRule="atLeast"/>
                <w:jc w:val="center"/>
              </w:trPr>
              <w:tc>
                <w:tcPr>
                  <w:tcW w:w="590" w:type="dxa"/>
                  <w:vMerge w:val="continue"/>
                  <w:vAlign w:val="center"/>
                </w:tcPr>
                <w:p w14:paraId="02A9B1E6">
                  <w:pPr>
                    <w:adjustRightInd w:val="0"/>
                    <w:snapToGrid w:val="0"/>
                    <w:spacing w:line="240" w:lineRule="auto"/>
                    <w:jc w:val="center"/>
                    <w:rPr>
                      <w:sz w:val="21"/>
                      <w:szCs w:val="21"/>
                    </w:rPr>
                  </w:pPr>
                </w:p>
              </w:tc>
              <w:tc>
                <w:tcPr>
                  <w:tcW w:w="1958" w:type="dxa"/>
                  <w:vAlign w:val="center"/>
                </w:tcPr>
                <w:p w14:paraId="11832A4E">
                  <w:pPr>
                    <w:adjustRightInd w:val="0"/>
                    <w:snapToGrid w:val="0"/>
                    <w:spacing w:line="240" w:lineRule="auto"/>
                    <w:jc w:val="center"/>
                    <w:rPr>
                      <w:sz w:val="21"/>
                      <w:szCs w:val="21"/>
                    </w:rPr>
                  </w:pPr>
                  <w:r>
                    <w:rPr>
                      <w:rFonts w:hint="eastAsia"/>
                      <w:sz w:val="21"/>
                      <w:szCs w:val="21"/>
                    </w:rPr>
                    <w:t>肉类、蔬菜</w:t>
                  </w:r>
                </w:p>
              </w:tc>
              <w:tc>
                <w:tcPr>
                  <w:tcW w:w="920" w:type="dxa"/>
                  <w:vAlign w:val="center"/>
                </w:tcPr>
                <w:p w14:paraId="7E803EA3">
                  <w:pPr>
                    <w:adjustRightInd w:val="0"/>
                    <w:snapToGrid w:val="0"/>
                    <w:spacing w:line="240" w:lineRule="auto"/>
                    <w:jc w:val="center"/>
                    <w:rPr>
                      <w:sz w:val="21"/>
                      <w:szCs w:val="21"/>
                    </w:rPr>
                  </w:pPr>
                  <w:r>
                    <w:rPr>
                      <w:rFonts w:hint="eastAsia"/>
                      <w:sz w:val="21"/>
                      <w:szCs w:val="21"/>
                    </w:rPr>
                    <w:t>2次/日</w:t>
                  </w:r>
                </w:p>
              </w:tc>
              <w:tc>
                <w:tcPr>
                  <w:tcW w:w="2089" w:type="dxa"/>
                  <w:vAlign w:val="center"/>
                </w:tcPr>
                <w:p w14:paraId="68B766A2">
                  <w:pPr>
                    <w:adjustRightInd w:val="0"/>
                    <w:snapToGrid w:val="0"/>
                    <w:spacing w:line="240" w:lineRule="auto"/>
                    <w:jc w:val="center"/>
                    <w:rPr>
                      <w:sz w:val="21"/>
                      <w:szCs w:val="21"/>
                    </w:rPr>
                  </w:pPr>
                  <w:r>
                    <w:rPr>
                      <w:rFonts w:hint="eastAsia"/>
                      <w:sz w:val="21"/>
                      <w:szCs w:val="21"/>
                    </w:rPr>
                    <w:t>清洗</w:t>
                  </w:r>
                </w:p>
              </w:tc>
              <w:tc>
                <w:tcPr>
                  <w:tcW w:w="2221" w:type="dxa"/>
                  <w:vAlign w:val="center"/>
                </w:tcPr>
                <w:p w14:paraId="29A4F9ED">
                  <w:pPr>
                    <w:adjustRightInd w:val="0"/>
                    <w:snapToGrid w:val="0"/>
                    <w:spacing w:line="240" w:lineRule="auto"/>
                    <w:jc w:val="center"/>
                    <w:rPr>
                      <w:sz w:val="21"/>
                      <w:szCs w:val="21"/>
                    </w:rPr>
                  </w:pPr>
                  <w:r>
                    <w:rPr>
                      <w:rFonts w:hint="eastAsia"/>
                      <w:sz w:val="21"/>
                      <w:szCs w:val="21"/>
                    </w:rPr>
                    <w:t>无沙砾等杂物</w:t>
                  </w:r>
                </w:p>
              </w:tc>
            </w:tr>
            <w:tr w14:paraId="47299A1A">
              <w:tblPrEx>
                <w:tblCellMar>
                  <w:top w:w="0" w:type="dxa"/>
                  <w:left w:w="108" w:type="dxa"/>
                  <w:bottom w:w="0" w:type="dxa"/>
                  <w:right w:w="108" w:type="dxa"/>
                </w:tblCellMar>
              </w:tblPrEx>
              <w:trPr>
                <w:trHeight w:val="833" w:hRule="atLeast"/>
                <w:jc w:val="center"/>
              </w:trPr>
              <w:tc>
                <w:tcPr>
                  <w:tcW w:w="590" w:type="dxa"/>
                  <w:vMerge w:val="continue"/>
                  <w:vAlign w:val="center"/>
                </w:tcPr>
                <w:p w14:paraId="2B3CD1EE">
                  <w:pPr>
                    <w:adjustRightInd w:val="0"/>
                    <w:snapToGrid w:val="0"/>
                    <w:spacing w:line="240" w:lineRule="auto"/>
                    <w:jc w:val="center"/>
                    <w:rPr>
                      <w:sz w:val="21"/>
                      <w:szCs w:val="21"/>
                    </w:rPr>
                  </w:pPr>
                </w:p>
              </w:tc>
              <w:tc>
                <w:tcPr>
                  <w:tcW w:w="1958" w:type="dxa"/>
                  <w:vAlign w:val="center"/>
                </w:tcPr>
                <w:p w14:paraId="2A922C91">
                  <w:pPr>
                    <w:adjustRightInd w:val="0"/>
                    <w:snapToGrid w:val="0"/>
                    <w:spacing w:line="240" w:lineRule="auto"/>
                    <w:jc w:val="center"/>
                    <w:rPr>
                      <w:sz w:val="21"/>
                      <w:szCs w:val="21"/>
                    </w:rPr>
                  </w:pPr>
                  <w:r>
                    <w:rPr>
                      <w:rFonts w:hint="eastAsia"/>
                      <w:sz w:val="21"/>
                      <w:szCs w:val="21"/>
                    </w:rPr>
                    <w:t>水电、煤气设备</w:t>
                  </w:r>
                </w:p>
              </w:tc>
              <w:tc>
                <w:tcPr>
                  <w:tcW w:w="920" w:type="dxa"/>
                  <w:vAlign w:val="center"/>
                </w:tcPr>
                <w:p w14:paraId="07F28CEC">
                  <w:pPr>
                    <w:adjustRightInd w:val="0"/>
                    <w:snapToGrid w:val="0"/>
                    <w:spacing w:line="240" w:lineRule="auto"/>
                    <w:jc w:val="center"/>
                    <w:rPr>
                      <w:sz w:val="21"/>
                      <w:szCs w:val="21"/>
                    </w:rPr>
                  </w:pPr>
                  <w:r>
                    <w:rPr>
                      <w:rFonts w:hint="eastAsia"/>
                      <w:sz w:val="21"/>
                      <w:szCs w:val="21"/>
                    </w:rPr>
                    <w:t>随时</w:t>
                  </w:r>
                </w:p>
              </w:tc>
              <w:tc>
                <w:tcPr>
                  <w:tcW w:w="2089" w:type="dxa"/>
                  <w:vAlign w:val="center"/>
                </w:tcPr>
                <w:p w14:paraId="295D1F39">
                  <w:pPr>
                    <w:adjustRightInd w:val="0"/>
                    <w:snapToGrid w:val="0"/>
                    <w:spacing w:line="240" w:lineRule="auto"/>
                    <w:jc w:val="center"/>
                    <w:rPr>
                      <w:sz w:val="21"/>
                      <w:szCs w:val="21"/>
                    </w:rPr>
                  </w:pPr>
                  <w:r>
                    <w:rPr>
                      <w:rFonts w:hint="eastAsia"/>
                      <w:sz w:val="21"/>
                      <w:szCs w:val="21"/>
                    </w:rPr>
                    <w:t>每日巡视检查、记录、发现问题及时报告跟踪处理结果</w:t>
                  </w:r>
                </w:p>
              </w:tc>
              <w:tc>
                <w:tcPr>
                  <w:tcW w:w="2221" w:type="dxa"/>
                  <w:vAlign w:val="center"/>
                </w:tcPr>
                <w:p w14:paraId="55A2B506">
                  <w:pPr>
                    <w:adjustRightInd w:val="0"/>
                    <w:snapToGrid w:val="0"/>
                    <w:spacing w:line="240" w:lineRule="auto"/>
                    <w:jc w:val="center"/>
                    <w:rPr>
                      <w:sz w:val="21"/>
                      <w:szCs w:val="21"/>
                    </w:rPr>
                  </w:pPr>
                  <w:r>
                    <w:rPr>
                      <w:rFonts w:hint="eastAsia"/>
                      <w:sz w:val="21"/>
                      <w:szCs w:val="21"/>
                    </w:rPr>
                    <w:t>使用正常、安全无故障</w:t>
                  </w:r>
                </w:p>
              </w:tc>
            </w:tr>
            <w:tr w14:paraId="0F28C277">
              <w:tblPrEx>
                <w:tblCellMar>
                  <w:top w:w="0" w:type="dxa"/>
                  <w:left w:w="108" w:type="dxa"/>
                  <w:bottom w:w="0" w:type="dxa"/>
                  <w:right w:w="108" w:type="dxa"/>
                </w:tblCellMar>
              </w:tblPrEx>
              <w:trPr>
                <w:trHeight w:val="696" w:hRule="atLeast"/>
                <w:jc w:val="center"/>
              </w:trPr>
              <w:tc>
                <w:tcPr>
                  <w:tcW w:w="590" w:type="dxa"/>
                  <w:vMerge w:val="continue"/>
                  <w:vAlign w:val="center"/>
                </w:tcPr>
                <w:p w14:paraId="06B554E7">
                  <w:pPr>
                    <w:adjustRightInd w:val="0"/>
                    <w:snapToGrid w:val="0"/>
                    <w:spacing w:line="240" w:lineRule="auto"/>
                    <w:jc w:val="center"/>
                    <w:rPr>
                      <w:sz w:val="21"/>
                      <w:szCs w:val="21"/>
                    </w:rPr>
                  </w:pPr>
                </w:p>
              </w:tc>
              <w:tc>
                <w:tcPr>
                  <w:tcW w:w="1958" w:type="dxa"/>
                  <w:vAlign w:val="center"/>
                </w:tcPr>
                <w:p w14:paraId="0567DF17">
                  <w:pPr>
                    <w:adjustRightInd w:val="0"/>
                    <w:snapToGrid w:val="0"/>
                    <w:spacing w:line="240" w:lineRule="auto"/>
                    <w:jc w:val="center"/>
                    <w:rPr>
                      <w:sz w:val="21"/>
                      <w:szCs w:val="21"/>
                    </w:rPr>
                  </w:pPr>
                  <w:r>
                    <w:rPr>
                      <w:rFonts w:hint="eastAsia"/>
                      <w:sz w:val="21"/>
                      <w:szCs w:val="21"/>
                    </w:rPr>
                    <w:t>室内外灯光照明、消毒灯管和室内电路</w:t>
                  </w:r>
                </w:p>
              </w:tc>
              <w:tc>
                <w:tcPr>
                  <w:tcW w:w="920" w:type="dxa"/>
                  <w:vAlign w:val="center"/>
                </w:tcPr>
                <w:p w14:paraId="141DF983">
                  <w:pPr>
                    <w:adjustRightInd w:val="0"/>
                    <w:snapToGrid w:val="0"/>
                    <w:spacing w:line="240" w:lineRule="auto"/>
                    <w:jc w:val="center"/>
                    <w:rPr>
                      <w:sz w:val="21"/>
                      <w:szCs w:val="21"/>
                    </w:rPr>
                  </w:pPr>
                  <w:r>
                    <w:rPr>
                      <w:rFonts w:hint="eastAsia"/>
                      <w:sz w:val="21"/>
                      <w:szCs w:val="21"/>
                    </w:rPr>
                    <w:t>随时</w:t>
                  </w:r>
                </w:p>
              </w:tc>
              <w:tc>
                <w:tcPr>
                  <w:tcW w:w="2089" w:type="dxa"/>
                  <w:vAlign w:val="center"/>
                </w:tcPr>
                <w:p w14:paraId="5AAB4A39">
                  <w:pPr>
                    <w:adjustRightInd w:val="0"/>
                    <w:snapToGrid w:val="0"/>
                    <w:spacing w:line="240" w:lineRule="auto"/>
                    <w:jc w:val="center"/>
                    <w:rPr>
                      <w:sz w:val="21"/>
                      <w:szCs w:val="21"/>
                    </w:rPr>
                  </w:pPr>
                  <w:r>
                    <w:rPr>
                      <w:rFonts w:hint="eastAsia"/>
                      <w:sz w:val="21"/>
                      <w:szCs w:val="21"/>
                    </w:rPr>
                    <w:t>检查，参加检查发现问题及时报告跟踪处理结果</w:t>
                  </w:r>
                </w:p>
              </w:tc>
              <w:tc>
                <w:tcPr>
                  <w:tcW w:w="2221" w:type="dxa"/>
                  <w:vAlign w:val="center"/>
                </w:tcPr>
                <w:p w14:paraId="010B0F5F">
                  <w:pPr>
                    <w:adjustRightInd w:val="0"/>
                    <w:snapToGrid w:val="0"/>
                    <w:spacing w:line="240" w:lineRule="auto"/>
                    <w:jc w:val="center"/>
                    <w:rPr>
                      <w:sz w:val="21"/>
                      <w:szCs w:val="21"/>
                    </w:rPr>
                  </w:pPr>
                  <w:r>
                    <w:rPr>
                      <w:rFonts w:hint="eastAsia"/>
                      <w:sz w:val="21"/>
                      <w:szCs w:val="21"/>
                    </w:rPr>
                    <w:t>符合安全标准，正常使用</w:t>
                  </w:r>
                </w:p>
              </w:tc>
            </w:tr>
          </w:tbl>
          <w:p w14:paraId="5645E4B2">
            <w:pPr>
              <w:adjustRightInd w:val="0"/>
              <w:snapToGrid w:val="0"/>
              <w:spacing w:line="240" w:lineRule="auto"/>
              <w:rPr>
                <w:sz w:val="21"/>
                <w:szCs w:val="21"/>
              </w:rPr>
            </w:pPr>
            <w:r>
              <w:rPr>
                <w:rFonts w:hint="eastAsia"/>
                <w:sz w:val="21"/>
                <w:szCs w:val="21"/>
              </w:rPr>
              <w:t>15.2服务内容及作业标准二</w:t>
            </w:r>
          </w:p>
          <w:tbl>
            <w:tblPr>
              <w:tblStyle w:val="14"/>
              <w:tblW w:w="7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845"/>
              <w:gridCol w:w="6253"/>
            </w:tblGrid>
            <w:tr w14:paraId="4355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 w:hRule="atLeast"/>
                <w:jc w:val="center"/>
              </w:trPr>
              <w:tc>
                <w:tcPr>
                  <w:tcW w:w="700" w:type="dxa"/>
                  <w:tcBorders>
                    <w:top w:val="single" w:color="auto" w:sz="4" w:space="0"/>
                    <w:left w:val="single" w:color="auto" w:sz="4" w:space="0"/>
                    <w:bottom w:val="single" w:color="auto" w:sz="4" w:space="0"/>
                    <w:right w:val="single" w:color="auto" w:sz="4" w:space="0"/>
                  </w:tcBorders>
                  <w:vAlign w:val="center"/>
                </w:tcPr>
                <w:p w14:paraId="26A82B8D">
                  <w:pPr>
                    <w:adjustRightInd w:val="0"/>
                    <w:snapToGrid w:val="0"/>
                    <w:spacing w:line="240" w:lineRule="auto"/>
                    <w:jc w:val="center"/>
                    <w:rPr>
                      <w:sz w:val="21"/>
                      <w:szCs w:val="21"/>
                    </w:rPr>
                  </w:pPr>
                  <w:r>
                    <w:rPr>
                      <w:rFonts w:hint="eastAsia"/>
                      <w:sz w:val="21"/>
                      <w:szCs w:val="21"/>
                    </w:rPr>
                    <w:t>序号</w:t>
                  </w:r>
                </w:p>
              </w:tc>
              <w:tc>
                <w:tcPr>
                  <w:tcW w:w="845" w:type="dxa"/>
                  <w:tcBorders>
                    <w:top w:val="single" w:color="auto" w:sz="4" w:space="0"/>
                    <w:left w:val="single" w:color="auto" w:sz="4" w:space="0"/>
                    <w:bottom w:val="single" w:color="auto" w:sz="4" w:space="0"/>
                    <w:right w:val="single" w:color="auto" w:sz="4" w:space="0"/>
                  </w:tcBorders>
                  <w:vAlign w:val="center"/>
                </w:tcPr>
                <w:p w14:paraId="680DA5A4">
                  <w:pPr>
                    <w:adjustRightInd w:val="0"/>
                    <w:snapToGrid w:val="0"/>
                    <w:spacing w:line="240" w:lineRule="auto"/>
                    <w:jc w:val="center"/>
                    <w:rPr>
                      <w:sz w:val="21"/>
                      <w:szCs w:val="21"/>
                    </w:rPr>
                  </w:pPr>
                  <w:r>
                    <w:rPr>
                      <w:rFonts w:hint="eastAsia"/>
                      <w:sz w:val="21"/>
                      <w:szCs w:val="21"/>
                    </w:rPr>
                    <w:t>项目</w:t>
                  </w:r>
                </w:p>
              </w:tc>
              <w:tc>
                <w:tcPr>
                  <w:tcW w:w="6253" w:type="dxa"/>
                  <w:tcBorders>
                    <w:top w:val="single" w:color="auto" w:sz="4" w:space="0"/>
                    <w:left w:val="single" w:color="auto" w:sz="4" w:space="0"/>
                    <w:bottom w:val="single" w:color="auto" w:sz="4" w:space="0"/>
                    <w:right w:val="single" w:color="auto" w:sz="4" w:space="0"/>
                  </w:tcBorders>
                  <w:vAlign w:val="center"/>
                </w:tcPr>
                <w:p w14:paraId="438B8B59">
                  <w:pPr>
                    <w:adjustRightInd w:val="0"/>
                    <w:snapToGrid w:val="0"/>
                    <w:spacing w:line="240" w:lineRule="auto"/>
                    <w:jc w:val="center"/>
                    <w:rPr>
                      <w:sz w:val="21"/>
                      <w:szCs w:val="21"/>
                    </w:rPr>
                  </w:pPr>
                  <w:r>
                    <w:rPr>
                      <w:rFonts w:hint="eastAsia"/>
                      <w:sz w:val="21"/>
                      <w:szCs w:val="21"/>
                    </w:rPr>
                    <w:t>服 务 标 准 及 要 求</w:t>
                  </w:r>
                </w:p>
              </w:tc>
            </w:tr>
            <w:tr w14:paraId="2B85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700" w:type="dxa"/>
                  <w:tcBorders>
                    <w:top w:val="single" w:color="auto" w:sz="4" w:space="0"/>
                    <w:left w:val="single" w:color="auto" w:sz="4" w:space="0"/>
                    <w:bottom w:val="single" w:color="auto" w:sz="4" w:space="0"/>
                    <w:right w:val="single" w:color="auto" w:sz="4" w:space="0"/>
                  </w:tcBorders>
                  <w:vAlign w:val="center"/>
                </w:tcPr>
                <w:p w14:paraId="5B91C177">
                  <w:pPr>
                    <w:adjustRightInd w:val="0"/>
                    <w:snapToGrid w:val="0"/>
                    <w:spacing w:line="240" w:lineRule="auto"/>
                    <w:jc w:val="center"/>
                    <w:rPr>
                      <w:sz w:val="21"/>
                      <w:szCs w:val="21"/>
                    </w:rPr>
                  </w:pPr>
                  <w:r>
                    <w:rPr>
                      <w:rFonts w:hint="eastAsia"/>
                      <w:sz w:val="21"/>
                      <w:szCs w:val="21"/>
                    </w:rPr>
                    <w:t>1</w:t>
                  </w:r>
                </w:p>
              </w:tc>
              <w:tc>
                <w:tcPr>
                  <w:tcW w:w="845" w:type="dxa"/>
                  <w:tcBorders>
                    <w:top w:val="single" w:color="auto" w:sz="4" w:space="0"/>
                    <w:left w:val="single" w:color="auto" w:sz="4" w:space="0"/>
                    <w:bottom w:val="single" w:color="auto" w:sz="4" w:space="0"/>
                    <w:right w:val="single" w:color="auto" w:sz="4" w:space="0"/>
                  </w:tcBorders>
                  <w:vAlign w:val="center"/>
                </w:tcPr>
                <w:p w14:paraId="061B810F">
                  <w:pPr>
                    <w:adjustRightInd w:val="0"/>
                    <w:snapToGrid w:val="0"/>
                    <w:spacing w:line="240" w:lineRule="auto"/>
                    <w:jc w:val="center"/>
                    <w:rPr>
                      <w:sz w:val="21"/>
                      <w:szCs w:val="21"/>
                    </w:rPr>
                  </w:pPr>
                  <w:r>
                    <w:rPr>
                      <w:rFonts w:hint="eastAsia"/>
                      <w:sz w:val="21"/>
                      <w:szCs w:val="21"/>
                    </w:rPr>
                    <w:t>环境卫生管理</w:t>
                  </w:r>
                </w:p>
              </w:tc>
              <w:tc>
                <w:tcPr>
                  <w:tcW w:w="6253" w:type="dxa"/>
                  <w:tcBorders>
                    <w:top w:val="single" w:color="auto" w:sz="4" w:space="0"/>
                    <w:left w:val="single" w:color="auto" w:sz="4" w:space="0"/>
                    <w:bottom w:val="single" w:color="auto" w:sz="4" w:space="0"/>
                    <w:right w:val="single" w:color="auto" w:sz="4" w:space="0"/>
                  </w:tcBorders>
                  <w:vAlign w:val="center"/>
                </w:tcPr>
                <w:p w14:paraId="12757B8B">
                  <w:pPr>
                    <w:adjustRightInd w:val="0"/>
                    <w:snapToGrid w:val="0"/>
                    <w:spacing w:line="240" w:lineRule="auto"/>
                    <w:jc w:val="left"/>
                    <w:rPr>
                      <w:sz w:val="21"/>
                      <w:szCs w:val="21"/>
                    </w:rPr>
                  </w:pPr>
                  <w:r>
                    <w:rPr>
                      <w:rFonts w:hint="eastAsia"/>
                      <w:sz w:val="21"/>
                      <w:szCs w:val="21"/>
                    </w:rPr>
                    <w:t>一、基本要求</w:t>
                  </w:r>
                </w:p>
                <w:p w14:paraId="52970BB7">
                  <w:pPr>
                    <w:adjustRightInd w:val="0"/>
                    <w:snapToGrid w:val="0"/>
                    <w:spacing w:line="240" w:lineRule="auto"/>
                    <w:jc w:val="left"/>
                    <w:rPr>
                      <w:sz w:val="21"/>
                      <w:szCs w:val="21"/>
                    </w:rPr>
                  </w:pPr>
                  <w:r>
                    <w:rPr>
                      <w:rFonts w:hint="eastAsia"/>
                      <w:sz w:val="21"/>
                      <w:szCs w:val="21"/>
                    </w:rPr>
                    <w:t>1.营造一流的工作、服务环境。</w:t>
                  </w:r>
                </w:p>
                <w:p w14:paraId="2B39D625">
                  <w:pPr>
                    <w:adjustRightInd w:val="0"/>
                    <w:snapToGrid w:val="0"/>
                    <w:spacing w:line="240" w:lineRule="auto"/>
                    <w:jc w:val="left"/>
                    <w:rPr>
                      <w:sz w:val="21"/>
                      <w:szCs w:val="21"/>
                    </w:rPr>
                  </w:pPr>
                  <w:r>
                    <w:rPr>
                      <w:rFonts w:hint="eastAsia"/>
                      <w:sz w:val="21"/>
                      <w:szCs w:val="21"/>
                    </w:rPr>
                    <w:t>2.确保环境卫生符合行业检查标准，以及国家卫生城市检查标准要求。</w:t>
                  </w:r>
                </w:p>
                <w:p w14:paraId="23E76E94">
                  <w:pPr>
                    <w:adjustRightInd w:val="0"/>
                    <w:snapToGrid w:val="0"/>
                    <w:spacing w:line="240" w:lineRule="auto"/>
                    <w:jc w:val="left"/>
                    <w:rPr>
                      <w:sz w:val="21"/>
                      <w:szCs w:val="21"/>
                    </w:rPr>
                  </w:pPr>
                  <w:r>
                    <w:rPr>
                      <w:rFonts w:hint="eastAsia"/>
                      <w:sz w:val="21"/>
                      <w:szCs w:val="21"/>
                    </w:rPr>
                    <w:t>3.保持干燥，地面不积水。</w:t>
                  </w:r>
                </w:p>
                <w:p w14:paraId="6A60AFFA">
                  <w:pPr>
                    <w:adjustRightInd w:val="0"/>
                    <w:snapToGrid w:val="0"/>
                    <w:spacing w:line="240" w:lineRule="auto"/>
                    <w:jc w:val="left"/>
                    <w:rPr>
                      <w:sz w:val="21"/>
                      <w:szCs w:val="21"/>
                    </w:rPr>
                  </w:pPr>
                  <w:r>
                    <w:rPr>
                      <w:rFonts w:hint="eastAsia"/>
                      <w:sz w:val="21"/>
                      <w:szCs w:val="21"/>
                    </w:rPr>
                    <w:t>4.确保环境安全，各种排放达标。</w:t>
                  </w:r>
                </w:p>
                <w:p w14:paraId="242988DF">
                  <w:pPr>
                    <w:adjustRightInd w:val="0"/>
                    <w:snapToGrid w:val="0"/>
                    <w:spacing w:line="240" w:lineRule="auto"/>
                    <w:jc w:val="left"/>
                    <w:rPr>
                      <w:sz w:val="21"/>
                      <w:szCs w:val="21"/>
                    </w:rPr>
                  </w:pPr>
                  <w:r>
                    <w:rPr>
                      <w:rFonts w:hint="eastAsia"/>
                      <w:sz w:val="21"/>
                      <w:szCs w:val="21"/>
                    </w:rPr>
                    <w:t>5.对不同区域内的清洁工具按有关要求实行严格分类摆放和使用，用颜色、字标等方式进行区分。</w:t>
                  </w:r>
                </w:p>
                <w:p w14:paraId="38C936C6">
                  <w:pPr>
                    <w:adjustRightInd w:val="0"/>
                    <w:snapToGrid w:val="0"/>
                    <w:spacing w:line="240" w:lineRule="auto"/>
                    <w:jc w:val="left"/>
                    <w:rPr>
                      <w:sz w:val="21"/>
                      <w:szCs w:val="21"/>
                    </w:rPr>
                  </w:pPr>
                  <w:r>
                    <w:rPr>
                      <w:rFonts w:hint="eastAsia"/>
                      <w:sz w:val="21"/>
                      <w:szCs w:val="21"/>
                    </w:rPr>
                    <w:t>6.按时巡视、清洁餐厅各个区域，达到专业清洁与消毒，不发生交叉作业。</w:t>
                  </w:r>
                </w:p>
                <w:p w14:paraId="3A91C176">
                  <w:pPr>
                    <w:adjustRightInd w:val="0"/>
                    <w:snapToGrid w:val="0"/>
                    <w:spacing w:line="240" w:lineRule="auto"/>
                    <w:jc w:val="left"/>
                    <w:rPr>
                      <w:sz w:val="21"/>
                      <w:szCs w:val="21"/>
                    </w:rPr>
                  </w:pPr>
                  <w:r>
                    <w:rPr>
                      <w:rFonts w:hint="eastAsia"/>
                      <w:sz w:val="21"/>
                      <w:szCs w:val="21"/>
                    </w:rPr>
                    <w:t>7.生活垃圾、厨余垃圾等按规范要求分类收集。</w:t>
                  </w:r>
                </w:p>
                <w:p w14:paraId="0F55D17F">
                  <w:pPr>
                    <w:adjustRightInd w:val="0"/>
                    <w:snapToGrid w:val="0"/>
                    <w:spacing w:line="240" w:lineRule="auto"/>
                    <w:jc w:val="left"/>
                    <w:rPr>
                      <w:sz w:val="21"/>
                      <w:szCs w:val="21"/>
                    </w:rPr>
                  </w:pPr>
                  <w:r>
                    <w:rPr>
                      <w:rFonts w:hint="eastAsia"/>
                      <w:sz w:val="21"/>
                      <w:szCs w:val="21"/>
                    </w:rPr>
                    <w:t>二、具体要求</w:t>
                  </w:r>
                </w:p>
                <w:p w14:paraId="3886523F">
                  <w:pPr>
                    <w:adjustRightInd w:val="0"/>
                    <w:snapToGrid w:val="0"/>
                    <w:spacing w:line="240" w:lineRule="auto"/>
                    <w:jc w:val="left"/>
                    <w:rPr>
                      <w:sz w:val="21"/>
                      <w:szCs w:val="21"/>
                    </w:rPr>
                  </w:pPr>
                  <w:r>
                    <w:rPr>
                      <w:rFonts w:hint="eastAsia"/>
                      <w:sz w:val="21"/>
                      <w:szCs w:val="21"/>
                    </w:rPr>
                    <w:t>1.每日</w:t>
                  </w:r>
                </w:p>
                <w:p w14:paraId="21E1FE95">
                  <w:pPr>
                    <w:adjustRightInd w:val="0"/>
                    <w:snapToGrid w:val="0"/>
                    <w:spacing w:line="240" w:lineRule="auto"/>
                    <w:jc w:val="left"/>
                    <w:rPr>
                      <w:sz w:val="21"/>
                      <w:szCs w:val="21"/>
                    </w:rPr>
                  </w:pPr>
                  <w:r>
                    <w:rPr>
                      <w:rFonts w:hint="eastAsia"/>
                      <w:sz w:val="21"/>
                      <w:szCs w:val="21"/>
                    </w:rPr>
                    <w:t>（1）清倒垃圾桶；</w:t>
                  </w:r>
                </w:p>
                <w:p w14:paraId="7E714EAF">
                  <w:pPr>
                    <w:adjustRightInd w:val="0"/>
                    <w:snapToGrid w:val="0"/>
                    <w:spacing w:line="240" w:lineRule="auto"/>
                    <w:jc w:val="left"/>
                    <w:rPr>
                      <w:sz w:val="21"/>
                      <w:szCs w:val="21"/>
                    </w:rPr>
                  </w:pPr>
                  <w:r>
                    <w:rPr>
                      <w:rFonts w:hint="eastAsia"/>
                      <w:sz w:val="21"/>
                      <w:szCs w:val="21"/>
                    </w:rPr>
                    <w:t>（2）拖抹地板，清倒垃圾桶；</w:t>
                  </w:r>
                </w:p>
                <w:p w14:paraId="7B9CC53C">
                  <w:pPr>
                    <w:adjustRightInd w:val="0"/>
                    <w:snapToGrid w:val="0"/>
                    <w:spacing w:line="240" w:lineRule="auto"/>
                    <w:jc w:val="left"/>
                    <w:rPr>
                      <w:sz w:val="21"/>
                      <w:szCs w:val="21"/>
                    </w:rPr>
                  </w:pPr>
                  <w:r>
                    <w:rPr>
                      <w:rFonts w:hint="eastAsia"/>
                      <w:sz w:val="21"/>
                      <w:szCs w:val="21"/>
                    </w:rPr>
                    <w:t>（3）拖抹饭桌、台面、椅子；</w:t>
                  </w:r>
                </w:p>
                <w:p w14:paraId="2EABD8EA">
                  <w:pPr>
                    <w:adjustRightInd w:val="0"/>
                    <w:snapToGrid w:val="0"/>
                    <w:spacing w:line="240" w:lineRule="auto"/>
                    <w:jc w:val="left"/>
                    <w:rPr>
                      <w:sz w:val="21"/>
                      <w:szCs w:val="21"/>
                    </w:rPr>
                  </w:pPr>
                  <w:r>
                    <w:rPr>
                      <w:rFonts w:hint="eastAsia"/>
                      <w:sz w:val="21"/>
                      <w:szCs w:val="21"/>
                    </w:rPr>
                    <w:t>（4）餐厅及后厨要保持清洁特别是公共区域需随时保持清洁；</w:t>
                  </w:r>
                </w:p>
                <w:p w14:paraId="51C77468">
                  <w:pPr>
                    <w:adjustRightInd w:val="0"/>
                    <w:snapToGrid w:val="0"/>
                    <w:spacing w:line="240" w:lineRule="auto"/>
                    <w:jc w:val="left"/>
                    <w:rPr>
                      <w:sz w:val="21"/>
                      <w:szCs w:val="21"/>
                    </w:rPr>
                  </w:pPr>
                  <w:r>
                    <w:rPr>
                      <w:rFonts w:hint="eastAsia"/>
                      <w:sz w:val="21"/>
                      <w:szCs w:val="21"/>
                    </w:rPr>
                    <w:t>（5）服务范围内发现垃圾、杂物，随时清理，保持地面干净、清洁。</w:t>
                  </w:r>
                </w:p>
                <w:p w14:paraId="58747C8C">
                  <w:pPr>
                    <w:adjustRightInd w:val="0"/>
                    <w:snapToGrid w:val="0"/>
                    <w:spacing w:line="240" w:lineRule="auto"/>
                    <w:jc w:val="left"/>
                    <w:rPr>
                      <w:sz w:val="21"/>
                      <w:szCs w:val="21"/>
                    </w:rPr>
                  </w:pPr>
                  <w:r>
                    <w:rPr>
                      <w:rFonts w:hint="eastAsia"/>
                      <w:sz w:val="21"/>
                      <w:szCs w:val="21"/>
                    </w:rPr>
                    <w:t>2. 每周</w:t>
                  </w:r>
                </w:p>
                <w:p w14:paraId="2338BF72">
                  <w:pPr>
                    <w:adjustRightInd w:val="0"/>
                    <w:snapToGrid w:val="0"/>
                    <w:spacing w:line="240" w:lineRule="auto"/>
                    <w:jc w:val="left"/>
                    <w:rPr>
                      <w:sz w:val="21"/>
                      <w:szCs w:val="21"/>
                    </w:rPr>
                  </w:pPr>
                  <w:r>
                    <w:rPr>
                      <w:rFonts w:hint="eastAsia"/>
                      <w:sz w:val="21"/>
                      <w:szCs w:val="21"/>
                    </w:rPr>
                    <w:t>（1）清洗餐厅；</w:t>
                  </w:r>
                </w:p>
                <w:p w14:paraId="1154AE4D">
                  <w:pPr>
                    <w:adjustRightInd w:val="0"/>
                    <w:snapToGrid w:val="0"/>
                    <w:spacing w:line="240" w:lineRule="auto"/>
                    <w:jc w:val="left"/>
                    <w:rPr>
                      <w:sz w:val="21"/>
                      <w:szCs w:val="21"/>
                    </w:rPr>
                  </w:pPr>
                  <w:r>
                    <w:rPr>
                      <w:rFonts w:hint="eastAsia"/>
                      <w:sz w:val="21"/>
                      <w:szCs w:val="21"/>
                    </w:rPr>
                    <w:t>（2）清除天花、吊顶污渍；</w:t>
                  </w:r>
                </w:p>
                <w:p w14:paraId="30D4A9EF">
                  <w:pPr>
                    <w:adjustRightInd w:val="0"/>
                    <w:snapToGrid w:val="0"/>
                    <w:spacing w:line="240" w:lineRule="auto"/>
                    <w:jc w:val="left"/>
                    <w:rPr>
                      <w:sz w:val="21"/>
                      <w:szCs w:val="21"/>
                    </w:rPr>
                  </w:pPr>
                  <w:r>
                    <w:rPr>
                      <w:rFonts w:hint="eastAsia"/>
                      <w:sz w:val="21"/>
                      <w:szCs w:val="21"/>
                    </w:rPr>
                    <w:t>（3）打扫天花蜘蛛网、窗台，玻璃保持清洁；</w:t>
                  </w:r>
                </w:p>
                <w:p w14:paraId="07FC9FCA">
                  <w:pPr>
                    <w:adjustRightInd w:val="0"/>
                    <w:snapToGrid w:val="0"/>
                    <w:spacing w:line="240" w:lineRule="auto"/>
                    <w:jc w:val="left"/>
                    <w:rPr>
                      <w:sz w:val="21"/>
                      <w:szCs w:val="21"/>
                    </w:rPr>
                  </w:pPr>
                  <w:r>
                    <w:rPr>
                      <w:rFonts w:hint="eastAsia"/>
                      <w:sz w:val="21"/>
                      <w:szCs w:val="21"/>
                    </w:rPr>
                    <w:t>（4）对服务区内环境卫生作一次大扫除。</w:t>
                  </w:r>
                </w:p>
                <w:p w14:paraId="442FB2D1">
                  <w:pPr>
                    <w:adjustRightInd w:val="0"/>
                    <w:snapToGrid w:val="0"/>
                    <w:spacing w:line="240" w:lineRule="auto"/>
                    <w:jc w:val="left"/>
                    <w:rPr>
                      <w:sz w:val="21"/>
                      <w:szCs w:val="21"/>
                    </w:rPr>
                  </w:pPr>
                  <w:r>
                    <w:rPr>
                      <w:rFonts w:hint="eastAsia"/>
                      <w:sz w:val="21"/>
                      <w:szCs w:val="21"/>
                    </w:rPr>
                    <w:t>三、质量要求</w:t>
                  </w:r>
                </w:p>
                <w:p w14:paraId="4135543B">
                  <w:pPr>
                    <w:adjustRightInd w:val="0"/>
                    <w:snapToGrid w:val="0"/>
                    <w:spacing w:line="240" w:lineRule="auto"/>
                    <w:jc w:val="left"/>
                    <w:rPr>
                      <w:sz w:val="21"/>
                      <w:szCs w:val="21"/>
                    </w:rPr>
                  </w:pPr>
                  <w:r>
                    <w:rPr>
                      <w:rFonts w:hint="eastAsia"/>
                      <w:sz w:val="21"/>
                      <w:szCs w:val="21"/>
                    </w:rPr>
                    <w:t>1.餐厅、后厨保持清洁，天花无蜘蛛网、无黑尘、无随意堆放杂物和占用，不见废弃物、污渍、净无异味。</w:t>
                  </w:r>
                </w:p>
                <w:p w14:paraId="4577A90F">
                  <w:pPr>
                    <w:adjustRightInd w:val="0"/>
                    <w:snapToGrid w:val="0"/>
                    <w:spacing w:line="240" w:lineRule="auto"/>
                    <w:jc w:val="left"/>
                    <w:rPr>
                      <w:sz w:val="21"/>
                      <w:szCs w:val="21"/>
                    </w:rPr>
                  </w:pPr>
                  <w:r>
                    <w:rPr>
                      <w:rFonts w:hint="eastAsia"/>
                      <w:sz w:val="21"/>
                      <w:szCs w:val="21"/>
                    </w:rPr>
                    <w:t>2.垃圾桶无滴水、无蚊虫孳生、无异味、无污迹、无张帖广告，垃圾日产日清。</w:t>
                  </w:r>
                </w:p>
              </w:tc>
            </w:tr>
          </w:tbl>
          <w:p w14:paraId="5B5C2877">
            <w:pPr>
              <w:rPr>
                <w:sz w:val="21"/>
                <w:szCs w:val="21"/>
              </w:rPr>
            </w:pPr>
          </w:p>
          <w:p w14:paraId="7C128831">
            <w:pPr>
              <w:pStyle w:val="8"/>
              <w:spacing w:line="240" w:lineRule="auto"/>
              <w:rPr>
                <w:rFonts w:hint="default"/>
                <w:b/>
                <w:bCs/>
                <w:sz w:val="21"/>
                <w:szCs w:val="21"/>
              </w:rPr>
            </w:pPr>
            <w:r>
              <w:rPr>
                <w:b/>
                <w:bCs/>
                <w:sz w:val="21"/>
                <w:szCs w:val="21"/>
              </w:rPr>
              <w:t>（十六）质量考核管理及退出机制</w:t>
            </w:r>
          </w:p>
          <w:p w14:paraId="1831B628">
            <w:pPr>
              <w:pStyle w:val="8"/>
              <w:spacing w:line="240" w:lineRule="auto"/>
              <w:rPr>
                <w:rFonts w:hint="default"/>
                <w:sz w:val="21"/>
                <w:szCs w:val="21"/>
              </w:rPr>
            </w:pPr>
            <w:r>
              <w:rPr>
                <w:sz w:val="21"/>
                <w:szCs w:val="21"/>
              </w:rPr>
              <w:t>16.1如中标人有转包、分包、挂靠，采购人有权不支付当月用餐费用或终止合同。</w:t>
            </w:r>
          </w:p>
          <w:p w14:paraId="357AFB98">
            <w:pPr>
              <w:pStyle w:val="8"/>
              <w:spacing w:line="240" w:lineRule="auto"/>
              <w:rPr>
                <w:rFonts w:hint="default"/>
                <w:sz w:val="21"/>
                <w:szCs w:val="21"/>
              </w:rPr>
            </w:pPr>
            <w:r>
              <w:rPr>
                <w:sz w:val="21"/>
                <w:szCs w:val="21"/>
              </w:rPr>
              <w:t>16.2如下月满意度仍低于80分，在本月扣分基础上追加扣10分（直接从本月考核总分中扣除，不限于满意度模块分值），并再次要求提交整改报告。连续两个月低于70分的，除按上述比例扣款外，采购人有权约谈中标人法定代表人（或实际控制人）。</w:t>
            </w:r>
          </w:p>
          <w:p w14:paraId="43011819">
            <w:pPr>
              <w:pStyle w:val="8"/>
              <w:spacing w:line="240" w:lineRule="auto"/>
              <w:rPr>
                <w:rFonts w:hint="default"/>
              </w:rPr>
            </w:pPr>
            <w:r>
              <w:rPr>
                <w:sz w:val="21"/>
                <w:szCs w:val="21"/>
              </w:rPr>
              <w:t>16.3本项目实行质量与服务月度考核方案，并严格执行，采购人每月对中标人提供的服务进行月度考核，考核分小于90分，当月服务费支付为合同款的95%，考核分小于80分，当月服务费支付为合同款的90%，考核分小于70分的，当月服务费支付为合同款的85%。如当期合同内累计3次考核得分低于70分，采购人有权终止合同，相关损失由中标人自行承担。</w:t>
            </w:r>
          </w:p>
          <w:p w14:paraId="2FEFD3F3">
            <w:pPr>
              <w:pStyle w:val="8"/>
              <w:spacing w:line="240" w:lineRule="auto"/>
              <w:rPr>
                <w:rFonts w:hint="default"/>
                <w:sz w:val="21"/>
                <w:szCs w:val="21"/>
              </w:rPr>
            </w:pPr>
            <w:r>
              <w:rPr>
                <w:sz w:val="21"/>
                <w:szCs w:val="21"/>
              </w:rPr>
              <w:t>（十七）其他要求和事项说明</w:t>
            </w:r>
          </w:p>
          <w:p w14:paraId="0948182D">
            <w:pPr>
              <w:pStyle w:val="8"/>
              <w:spacing w:line="240" w:lineRule="auto"/>
              <w:rPr>
                <w:rFonts w:hint="default"/>
                <w:sz w:val="21"/>
                <w:szCs w:val="21"/>
              </w:rPr>
            </w:pPr>
            <w:r>
              <w:rPr>
                <w:sz w:val="21"/>
                <w:szCs w:val="21"/>
              </w:rPr>
              <w:t>17.1中标人必须发扬中国共产党的优良传统和作风，必须自觉培养高尚道德情操，努力弘扬中华民族传统美德，廉洁自律，接受监督，崇廉拒腐，清白做人，干净做事，自觉遵守廉政准则，切实增强廉洁自律意识。如中标人与采购人的其他供应商（包括食材供应商、物资供应商、服务供应商等）有如下活动：私下勾结、徇私舞弊、弄虚作假、行贿受贿、收受货币或物资等好处、故意降低食材验收标准等损害采购人利益及形象的事宜，第一次发现时采购人有权没收当月应付给中标人的服务费，第二次发现时有权终止合同并没收履约保证金。</w:t>
            </w:r>
          </w:p>
          <w:p w14:paraId="7E3C4835">
            <w:pPr>
              <w:pStyle w:val="8"/>
              <w:spacing w:line="240" w:lineRule="auto"/>
              <w:rPr>
                <w:rFonts w:hint="default"/>
                <w:sz w:val="21"/>
                <w:szCs w:val="21"/>
              </w:rPr>
            </w:pPr>
            <w:r>
              <w:rPr>
                <w:sz w:val="21"/>
                <w:szCs w:val="21"/>
              </w:rPr>
              <w:t>17.2如采购人要求中标人提供本招标文件要求范围以外的合法、合规、合理的增值服务，中标人须积极答应，并提供相关支援。</w:t>
            </w:r>
          </w:p>
          <w:p w14:paraId="78F68387">
            <w:pPr>
              <w:pStyle w:val="8"/>
              <w:spacing w:line="240" w:lineRule="auto"/>
              <w:rPr>
                <w:rFonts w:hint="default"/>
                <w:sz w:val="21"/>
                <w:szCs w:val="21"/>
              </w:rPr>
            </w:pPr>
            <w:r>
              <w:rPr>
                <w:sz w:val="21"/>
                <w:szCs w:val="21"/>
              </w:rPr>
              <w:t>17.3经营期间，采购人的厨房设备维修工作由采购人负责，但因中标人操作不当或人为损坏的维修费由中标人负责。物品的申购及设备维修由中标人提出申请，采购人审核同意后再进行采购及维修。</w:t>
            </w:r>
          </w:p>
          <w:p w14:paraId="3F4B5815">
            <w:pPr>
              <w:pStyle w:val="8"/>
              <w:spacing w:line="240" w:lineRule="auto"/>
              <w:rPr>
                <w:rFonts w:hint="default"/>
                <w:sz w:val="21"/>
                <w:szCs w:val="21"/>
              </w:rPr>
            </w:pPr>
            <w:r>
              <w:rPr>
                <w:sz w:val="21"/>
                <w:szCs w:val="21"/>
              </w:rPr>
              <w:t>17.4中标人须在收到中标通知书后1个月内购买保额不低于500万元的公众责任险（被保险人须包含采购人）及购买保额不低于500万元的食品安全责任险（被保险人须包含采购人），购买的保单复印件交由采购人管理部门存档，如未能按时购买，视为违约行为，采购人有权拒绝与中标人签订合同，一切经济损失由中标人承担。</w:t>
            </w:r>
          </w:p>
          <w:p w14:paraId="7669695D">
            <w:pPr>
              <w:pStyle w:val="8"/>
              <w:spacing w:line="240" w:lineRule="auto"/>
              <w:rPr>
                <w:rFonts w:hint="default"/>
                <w:sz w:val="21"/>
                <w:szCs w:val="21"/>
              </w:rPr>
            </w:pPr>
            <w:r>
              <w:rPr>
                <w:sz w:val="21"/>
                <w:szCs w:val="21"/>
              </w:rPr>
              <w:t>17.5若合同结束时，采购人由于各方面原因不能及时明确下一合同期中标人之前，中标人继续按最新一期合同的条款续约3个月，费用按签订的合同支付。</w:t>
            </w:r>
          </w:p>
          <w:p w14:paraId="35BCC1E4">
            <w:pPr>
              <w:pStyle w:val="8"/>
              <w:spacing w:line="240" w:lineRule="auto"/>
              <w:rPr>
                <w:rFonts w:hint="default"/>
                <w:sz w:val="21"/>
                <w:szCs w:val="21"/>
              </w:rPr>
            </w:pPr>
            <w:r>
              <w:rPr>
                <w:sz w:val="21"/>
                <w:szCs w:val="21"/>
              </w:rPr>
              <w:t>17.6中标人在服务期内，由于原料加工、烹调过程中引发的食品安全、消防、人员伤亡等大小事故，应承担全部责任及费用。</w:t>
            </w:r>
          </w:p>
          <w:p w14:paraId="2A770D2D">
            <w:pPr>
              <w:pStyle w:val="8"/>
              <w:spacing w:line="240" w:lineRule="auto"/>
              <w:rPr>
                <w:rFonts w:hint="default"/>
                <w:sz w:val="21"/>
                <w:szCs w:val="21"/>
              </w:rPr>
            </w:pPr>
            <w:r>
              <w:rPr>
                <w:sz w:val="21"/>
                <w:szCs w:val="21"/>
              </w:rPr>
              <w:t>（十八）特别要求</w:t>
            </w:r>
          </w:p>
          <w:p w14:paraId="467A83EF">
            <w:pPr>
              <w:pStyle w:val="8"/>
              <w:spacing w:line="240" w:lineRule="auto"/>
              <w:rPr>
                <w:rFonts w:hint="default"/>
                <w:sz w:val="21"/>
                <w:szCs w:val="21"/>
              </w:rPr>
            </w:pPr>
            <w:r>
              <w:rPr>
                <w:sz w:val="21"/>
                <w:szCs w:val="21"/>
              </w:rPr>
              <w:t>1.中标人的报价应为一年所有的费用，包括入场的各项费用，采购人不再为此增加任何费用。本项目中标价为全包价，及包含人员所有开支（含工资、福利、房租、保险及国家规定的相关保障费用），采购人不再支付其他任何费用。</w:t>
            </w:r>
          </w:p>
          <w:p w14:paraId="2D50219F">
            <w:pPr>
              <w:pStyle w:val="8"/>
              <w:spacing w:line="240" w:lineRule="auto"/>
              <w:rPr>
                <w:rFonts w:hint="default"/>
                <w:sz w:val="21"/>
                <w:szCs w:val="21"/>
              </w:rPr>
            </w:pPr>
            <w:r>
              <w:rPr>
                <w:sz w:val="21"/>
                <w:szCs w:val="21"/>
              </w:rPr>
              <w:t>2.采购人有权对本项目资金的投入情况（主要是人员费用支出情况）进行监管。中标人应在中标通知书发放之日起一周内向采购人提供为本项目配备人员清单，提前做好交接准备工作，保障在合同生效起即刻顺利进驻采购人开展服务。</w:t>
            </w:r>
          </w:p>
          <w:p w14:paraId="51E6F0F5">
            <w:pPr>
              <w:pStyle w:val="8"/>
              <w:spacing w:line="240" w:lineRule="auto"/>
              <w:rPr>
                <w:rFonts w:hint="default"/>
                <w:sz w:val="21"/>
                <w:szCs w:val="21"/>
              </w:rPr>
            </w:pPr>
            <w:r>
              <w:rPr>
                <w:sz w:val="21"/>
                <w:szCs w:val="21"/>
              </w:rPr>
              <w:t>3.中标人应对所有服务人员每月发放足额工资，不能以任何理由扣发派服务人员工资，且保证每月工资在下个月15日准时发放（节假日顺延）。</w:t>
            </w:r>
          </w:p>
          <w:p w14:paraId="26770EDF">
            <w:pPr>
              <w:pStyle w:val="8"/>
              <w:spacing w:line="240" w:lineRule="auto"/>
              <w:rPr>
                <w:rFonts w:hint="default"/>
                <w:sz w:val="21"/>
                <w:szCs w:val="21"/>
              </w:rPr>
            </w:pPr>
            <w:r>
              <w:rPr>
                <w:sz w:val="21"/>
                <w:szCs w:val="21"/>
              </w:rPr>
              <w:t>4.采购人对公司所有服务人员具有再次面试和试用的权利，试用期为一个月，中标人服务人员试用期必须发放足额工资。</w:t>
            </w:r>
          </w:p>
        </w:tc>
      </w:tr>
      <w:tr w14:paraId="3F98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82" w:type="dxa"/>
            <w:shd w:val="clear" w:color="auto" w:fill="auto"/>
            <w:tcMar>
              <w:top w:w="120" w:type="dxa"/>
              <w:left w:w="120" w:type="dxa"/>
              <w:bottom w:w="120" w:type="dxa"/>
              <w:right w:w="120" w:type="dxa"/>
            </w:tcMar>
            <w:vAlign w:val="center"/>
          </w:tcPr>
          <w:p w14:paraId="4E15AEDD">
            <w:pPr>
              <w:spacing w:line="240" w:lineRule="auto"/>
              <w:rPr>
                <w:b/>
                <w:bCs/>
                <w:sz w:val="21"/>
                <w:szCs w:val="21"/>
                <w:highlight w:val="yellow"/>
              </w:rPr>
            </w:pPr>
            <w:r>
              <w:rPr>
                <w:rFonts w:hint="eastAsia"/>
                <w:b/>
                <w:bCs/>
                <w:sz w:val="21"/>
                <w:szCs w:val="21"/>
                <w:highlight w:val="yellow"/>
              </w:rPr>
              <w:t xml:space="preserve">参与调研供应商提交资料 </w:t>
            </w:r>
          </w:p>
          <w:p w14:paraId="4139F596">
            <w:pPr>
              <w:widowControl/>
              <w:spacing w:line="240" w:lineRule="auto"/>
              <w:jc w:val="left"/>
              <w:rPr>
                <w:kern w:val="0"/>
                <w:sz w:val="21"/>
                <w:szCs w:val="21"/>
                <w:lang w:bidi="ar"/>
              </w:rPr>
            </w:pPr>
          </w:p>
        </w:tc>
        <w:tc>
          <w:tcPr>
            <w:tcW w:w="8134" w:type="dxa"/>
            <w:gridSpan w:val="3"/>
            <w:shd w:val="clear" w:color="auto" w:fill="auto"/>
            <w:tcMar>
              <w:top w:w="120" w:type="dxa"/>
              <w:left w:w="120" w:type="dxa"/>
              <w:bottom w:w="120" w:type="dxa"/>
              <w:right w:w="120" w:type="dxa"/>
            </w:tcMar>
            <w:vAlign w:val="center"/>
          </w:tcPr>
          <w:p w14:paraId="2760F5AD">
            <w:pPr>
              <w:widowControl/>
              <w:shd w:val="clear" w:color="auto" w:fill="FFFFFF"/>
              <w:spacing w:line="240" w:lineRule="auto"/>
              <w:ind w:firstLine="480"/>
              <w:jc w:val="left"/>
              <w:rPr>
                <w:color w:val="4E4E4E"/>
                <w:kern w:val="0"/>
                <w:sz w:val="21"/>
                <w:szCs w:val="21"/>
                <w:shd w:val="clear" w:color="auto" w:fill="FFFFFF"/>
                <w:lang w:bidi="ar"/>
              </w:rPr>
            </w:pPr>
            <w:r>
              <w:rPr>
                <w:rFonts w:hint="eastAsia"/>
                <w:color w:val="4E4E4E"/>
                <w:kern w:val="0"/>
                <w:sz w:val="21"/>
                <w:szCs w:val="21"/>
                <w:shd w:val="clear" w:color="auto" w:fill="FFFFFF"/>
                <w:lang w:bidi="ar"/>
              </w:rPr>
              <w:t>1.企业基本资质：营业执照副本复印件、食品经营许可证复印件、法定代表人身份证明及授权委托书；</w:t>
            </w:r>
          </w:p>
          <w:p w14:paraId="43084379">
            <w:pPr>
              <w:widowControl/>
              <w:shd w:val="clear" w:color="auto" w:fill="FFFFFF"/>
              <w:spacing w:line="240" w:lineRule="auto"/>
              <w:ind w:firstLine="480"/>
              <w:jc w:val="left"/>
              <w:rPr>
                <w:color w:val="4E4E4E"/>
                <w:kern w:val="0"/>
                <w:sz w:val="21"/>
                <w:szCs w:val="21"/>
                <w:shd w:val="clear" w:color="auto" w:fill="FFFFFF"/>
                <w:lang w:bidi="ar"/>
              </w:rPr>
            </w:pPr>
            <w:r>
              <w:rPr>
                <w:rFonts w:hint="eastAsia"/>
                <w:color w:val="4E4E4E"/>
                <w:kern w:val="0"/>
                <w:sz w:val="21"/>
                <w:szCs w:val="21"/>
                <w:shd w:val="clear" w:color="auto" w:fill="FFFFFF"/>
                <w:lang w:bidi="ar"/>
              </w:rPr>
              <w:t>2.企业简介：公司规模、组织架构、业务范围、过往业绩等；</w:t>
            </w:r>
          </w:p>
          <w:p w14:paraId="1BE24AC1">
            <w:pPr>
              <w:widowControl/>
              <w:shd w:val="clear" w:color="auto" w:fill="FFFFFF"/>
              <w:spacing w:line="240" w:lineRule="auto"/>
              <w:ind w:firstLine="480"/>
              <w:jc w:val="left"/>
              <w:rPr>
                <w:color w:val="4E4E4E"/>
                <w:kern w:val="0"/>
                <w:sz w:val="21"/>
                <w:szCs w:val="21"/>
                <w:shd w:val="clear" w:color="auto" w:fill="FFFFFF"/>
                <w:lang w:bidi="ar"/>
              </w:rPr>
            </w:pPr>
            <w:r>
              <w:rPr>
                <w:rFonts w:hint="eastAsia"/>
                <w:color w:val="4E4E4E"/>
                <w:kern w:val="0"/>
                <w:sz w:val="21"/>
                <w:szCs w:val="21"/>
                <w:shd w:val="clear" w:color="auto" w:fill="FFFFFF"/>
                <w:lang w:bidi="ar"/>
              </w:rPr>
              <w:t>3.服务方案：含人员配置方案、岗位职责与排班安排、菜单规划思路、食品安全管理制度、卫生管理方案、应急措施等；</w:t>
            </w:r>
          </w:p>
          <w:p w14:paraId="2AD507DC">
            <w:pPr>
              <w:widowControl/>
              <w:shd w:val="clear" w:color="auto" w:fill="FFFFFF"/>
              <w:spacing w:line="240" w:lineRule="auto"/>
              <w:ind w:firstLine="480"/>
              <w:jc w:val="left"/>
              <w:rPr>
                <w:color w:val="4E4E4E"/>
                <w:kern w:val="0"/>
                <w:sz w:val="21"/>
                <w:szCs w:val="21"/>
                <w:shd w:val="clear" w:color="auto" w:fill="FFFFFF"/>
                <w:lang w:bidi="ar"/>
              </w:rPr>
            </w:pPr>
            <w:r>
              <w:rPr>
                <w:rFonts w:hint="eastAsia"/>
                <w:color w:val="4E4E4E"/>
                <w:kern w:val="0"/>
                <w:sz w:val="21"/>
                <w:szCs w:val="21"/>
                <w:shd w:val="clear" w:color="auto" w:fill="FFFFFF"/>
                <w:lang w:bidi="ar"/>
              </w:rPr>
              <w:t>4.质量管理方案：内部质量管理体系、日常自查制度、顾客满意度提升计划、问题整改流程等；</w:t>
            </w:r>
          </w:p>
          <w:p w14:paraId="6F4F22C5">
            <w:pPr>
              <w:widowControl/>
              <w:shd w:val="clear" w:color="auto" w:fill="FFFFFF"/>
              <w:spacing w:line="240" w:lineRule="auto"/>
              <w:ind w:firstLine="480"/>
              <w:jc w:val="left"/>
              <w:rPr>
                <w:color w:val="4E4E4E"/>
                <w:kern w:val="0"/>
                <w:sz w:val="21"/>
                <w:szCs w:val="21"/>
                <w:shd w:val="clear" w:color="auto" w:fill="FFFFFF"/>
                <w:lang w:bidi="ar"/>
              </w:rPr>
            </w:pPr>
            <w:r>
              <w:rPr>
                <w:rFonts w:hint="eastAsia"/>
                <w:color w:val="4E4E4E"/>
                <w:kern w:val="0"/>
                <w:sz w:val="21"/>
                <w:szCs w:val="21"/>
                <w:shd w:val="clear" w:color="auto" w:fill="FFFFFF"/>
                <w:lang w:bidi="ar"/>
              </w:rPr>
              <w:t>5.人员资质证明：拟派团队主要人员资格证书、健康证明复印件；</w:t>
            </w:r>
          </w:p>
          <w:p w14:paraId="264CA583">
            <w:pPr>
              <w:widowControl/>
              <w:shd w:val="clear" w:color="auto" w:fill="FFFFFF"/>
              <w:spacing w:line="240" w:lineRule="auto"/>
              <w:ind w:firstLine="480"/>
              <w:jc w:val="left"/>
              <w:rPr>
                <w:color w:val="4E4E4E"/>
                <w:kern w:val="0"/>
                <w:sz w:val="21"/>
                <w:szCs w:val="21"/>
                <w:shd w:val="clear" w:color="auto" w:fill="FFFFFF"/>
                <w:lang w:bidi="ar"/>
              </w:rPr>
            </w:pPr>
            <w:r>
              <w:rPr>
                <w:rFonts w:hint="eastAsia"/>
                <w:color w:val="4E4E4E"/>
                <w:kern w:val="0"/>
                <w:sz w:val="21"/>
                <w:szCs w:val="21"/>
                <w:shd w:val="clear" w:color="auto" w:fill="FFFFFF"/>
                <w:lang w:bidi="ar"/>
              </w:rPr>
              <w:t>6.同类项目业绩：近3年内为医院、机关事业单位或大型企业提供食堂服务的合同或中标通知书复印件（深圳地区业绩优先）；</w:t>
            </w:r>
          </w:p>
          <w:p w14:paraId="1C5132EB">
            <w:pPr>
              <w:widowControl/>
              <w:shd w:val="clear" w:color="auto" w:fill="FFFFFF"/>
              <w:spacing w:line="240" w:lineRule="auto"/>
              <w:ind w:firstLine="480"/>
              <w:jc w:val="left"/>
              <w:rPr>
                <w:color w:val="4E4E4E"/>
                <w:kern w:val="0"/>
                <w:sz w:val="21"/>
                <w:szCs w:val="21"/>
                <w:shd w:val="clear" w:color="auto" w:fill="FFFFFF"/>
                <w:lang w:bidi="ar"/>
              </w:rPr>
            </w:pPr>
            <w:r>
              <w:rPr>
                <w:rFonts w:hint="eastAsia"/>
                <w:color w:val="4E4E4E"/>
                <w:kern w:val="0"/>
                <w:sz w:val="21"/>
                <w:szCs w:val="21"/>
                <w:shd w:val="clear" w:color="auto" w:fill="FFFFFF"/>
                <w:lang w:bidi="ar"/>
              </w:rPr>
              <w:t>7.报价方案：按月度服务费或按人次计费两种方式分别提供报价，并附分项明细；</w:t>
            </w:r>
          </w:p>
          <w:p w14:paraId="02E46F37">
            <w:pPr>
              <w:widowControl/>
              <w:shd w:val="clear" w:color="auto" w:fill="FFFFFF"/>
              <w:spacing w:line="240" w:lineRule="auto"/>
              <w:ind w:firstLine="480"/>
              <w:jc w:val="left"/>
              <w:rPr>
                <w:sz w:val="21"/>
                <w:szCs w:val="21"/>
              </w:rPr>
            </w:pPr>
            <w:r>
              <w:rPr>
                <w:rFonts w:hint="eastAsia"/>
                <w:color w:val="4E4E4E"/>
                <w:kern w:val="0"/>
                <w:sz w:val="21"/>
                <w:szCs w:val="21"/>
                <w:shd w:val="clear" w:color="auto" w:fill="FFFFFF"/>
                <w:lang w:bidi="ar"/>
              </w:rPr>
              <w:t>8.信用证明：“信用中国”及“中国政府采购网”无失信记录查询截图，近三年无食品安全事故及重大违法违规记录承诺函。</w:t>
            </w:r>
          </w:p>
        </w:tc>
      </w:tr>
      <w:tr w14:paraId="5D3A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82" w:type="dxa"/>
            <w:shd w:val="clear" w:color="auto" w:fill="auto"/>
            <w:tcMar>
              <w:top w:w="120" w:type="dxa"/>
              <w:left w:w="120" w:type="dxa"/>
              <w:bottom w:w="120" w:type="dxa"/>
              <w:right w:w="120" w:type="dxa"/>
            </w:tcMar>
            <w:vAlign w:val="center"/>
          </w:tcPr>
          <w:p w14:paraId="23360B7B">
            <w:pPr>
              <w:widowControl/>
              <w:spacing w:line="240" w:lineRule="auto"/>
              <w:jc w:val="left"/>
              <w:rPr>
                <w:kern w:val="0"/>
                <w:sz w:val="21"/>
                <w:szCs w:val="21"/>
                <w:lang w:bidi="ar"/>
              </w:rPr>
            </w:pPr>
            <w:r>
              <w:rPr>
                <w:rFonts w:hint="eastAsia"/>
                <w:kern w:val="0"/>
                <w:sz w:val="21"/>
                <w:szCs w:val="21"/>
                <w:lang w:bidi="ar"/>
              </w:rPr>
              <w:t>服务期</w:t>
            </w:r>
          </w:p>
        </w:tc>
        <w:tc>
          <w:tcPr>
            <w:tcW w:w="8134" w:type="dxa"/>
            <w:gridSpan w:val="3"/>
            <w:shd w:val="clear" w:color="auto" w:fill="auto"/>
            <w:tcMar>
              <w:top w:w="120" w:type="dxa"/>
              <w:left w:w="120" w:type="dxa"/>
              <w:bottom w:w="120" w:type="dxa"/>
              <w:right w:w="120" w:type="dxa"/>
            </w:tcMar>
            <w:vAlign w:val="center"/>
          </w:tcPr>
          <w:p w14:paraId="348E6AF0">
            <w:pPr>
              <w:spacing w:line="240" w:lineRule="auto"/>
              <w:ind w:firstLine="420" w:firstLineChars="200"/>
              <w:rPr>
                <w:sz w:val="21"/>
                <w:szCs w:val="21"/>
              </w:rPr>
            </w:pPr>
            <w:r>
              <w:rPr>
                <w:rFonts w:hint="eastAsia"/>
                <w:sz w:val="21"/>
                <w:szCs w:val="21"/>
              </w:rPr>
              <w:t>本项目参与市场调研的单位总报价按一年计，本项目属于长期服务项目，长期服务政府采购合同履行期限最长不得超过三十六个月。如甲方对履约情况不满意，甲方不再续约。</w:t>
            </w:r>
          </w:p>
        </w:tc>
      </w:tr>
    </w:tbl>
    <w:p w14:paraId="72D74C31"/>
    <w:p w14:paraId="71B2AF48"/>
    <w:p w14:paraId="6DBACBA8"/>
    <w:p w14:paraId="667F241B">
      <w:pPr>
        <w:keepNext/>
        <w:keepLines/>
        <w:spacing w:before="120" w:after="120" w:line="360" w:lineRule="auto"/>
        <w:jc w:val="center"/>
        <w:outlineLvl w:val="2"/>
        <w:rPr>
          <w:b/>
          <w:sz w:val="36"/>
          <w:szCs w:val="36"/>
        </w:rPr>
      </w:pPr>
      <w:r>
        <w:rPr>
          <w:rFonts w:hint="eastAsia"/>
          <w:b/>
          <w:sz w:val="36"/>
          <w:szCs w:val="36"/>
        </w:rPr>
        <w:t>供应商基本情况表</w:t>
      </w:r>
    </w:p>
    <w:p w14:paraId="36991659">
      <w:pPr>
        <w:spacing w:line="360" w:lineRule="auto"/>
        <w:rPr>
          <w:bCs/>
          <w:sz w:val="21"/>
          <w:szCs w:val="21"/>
        </w:rPr>
      </w:pPr>
      <w:r>
        <w:rPr>
          <w:rFonts w:hint="eastAsia"/>
          <w:sz w:val="21"/>
          <w:szCs w:val="21"/>
        </w:rPr>
        <w:t>填表单位：（加盖单位公章）</w:t>
      </w:r>
      <w:r>
        <w:rPr>
          <w:rFonts w:hint="eastAsia"/>
          <w:sz w:val="21"/>
          <w:szCs w:val="21"/>
        </w:rPr>
        <w:tab/>
      </w:r>
      <w:r>
        <w:rPr>
          <w:rFonts w:hint="eastAsia"/>
          <w:sz w:val="21"/>
          <w:szCs w:val="21"/>
        </w:rPr>
        <w:tab/>
      </w:r>
      <w:r>
        <w:rPr>
          <w:rFonts w:hint="eastAsia"/>
          <w:sz w:val="21"/>
          <w:szCs w:val="21"/>
        </w:rPr>
        <w:t xml:space="preserve">    填表日期：    年   月   日</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759"/>
        <w:gridCol w:w="1399"/>
        <w:gridCol w:w="907"/>
        <w:gridCol w:w="752"/>
        <w:gridCol w:w="1254"/>
        <w:gridCol w:w="1317"/>
        <w:gridCol w:w="1416"/>
      </w:tblGrid>
      <w:tr w14:paraId="662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78" w:type="dxa"/>
            <w:gridSpan w:val="2"/>
            <w:vAlign w:val="center"/>
          </w:tcPr>
          <w:p w14:paraId="29FB1572">
            <w:pPr>
              <w:jc w:val="center"/>
              <w:rPr>
                <w:sz w:val="21"/>
                <w:szCs w:val="21"/>
              </w:rPr>
            </w:pPr>
            <w:r>
              <w:rPr>
                <w:rFonts w:hint="eastAsia"/>
                <w:sz w:val="21"/>
                <w:szCs w:val="21"/>
              </w:rPr>
              <w:t>采购人</w:t>
            </w:r>
          </w:p>
        </w:tc>
        <w:tc>
          <w:tcPr>
            <w:tcW w:w="2308" w:type="dxa"/>
            <w:gridSpan w:val="2"/>
            <w:vAlign w:val="center"/>
          </w:tcPr>
          <w:p w14:paraId="20728A56">
            <w:pPr>
              <w:jc w:val="center"/>
              <w:rPr>
                <w:sz w:val="21"/>
                <w:szCs w:val="21"/>
              </w:rPr>
            </w:pPr>
          </w:p>
        </w:tc>
        <w:tc>
          <w:tcPr>
            <w:tcW w:w="2008" w:type="dxa"/>
            <w:gridSpan w:val="2"/>
            <w:vAlign w:val="center"/>
          </w:tcPr>
          <w:p w14:paraId="6531C980">
            <w:pPr>
              <w:jc w:val="center"/>
              <w:rPr>
                <w:sz w:val="21"/>
                <w:szCs w:val="21"/>
              </w:rPr>
            </w:pPr>
            <w:r>
              <w:rPr>
                <w:rFonts w:hint="eastAsia"/>
                <w:sz w:val="21"/>
                <w:szCs w:val="21"/>
              </w:rPr>
              <w:t>项目名称</w:t>
            </w:r>
          </w:p>
        </w:tc>
        <w:tc>
          <w:tcPr>
            <w:tcW w:w="2735" w:type="dxa"/>
            <w:gridSpan w:val="2"/>
            <w:vAlign w:val="center"/>
          </w:tcPr>
          <w:p w14:paraId="420C1F8C">
            <w:pPr>
              <w:jc w:val="center"/>
              <w:rPr>
                <w:sz w:val="21"/>
                <w:szCs w:val="21"/>
              </w:rPr>
            </w:pPr>
          </w:p>
        </w:tc>
      </w:tr>
      <w:tr w14:paraId="6F02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gridSpan w:val="2"/>
            <w:shd w:val="clear" w:color="auto" w:fill="auto"/>
            <w:vAlign w:val="center"/>
          </w:tcPr>
          <w:p w14:paraId="6AE3C49C">
            <w:pPr>
              <w:jc w:val="center"/>
              <w:rPr>
                <w:sz w:val="21"/>
                <w:szCs w:val="21"/>
              </w:rPr>
            </w:pPr>
            <w:r>
              <w:rPr>
                <w:rFonts w:hint="eastAsia"/>
                <w:sz w:val="21"/>
                <w:szCs w:val="21"/>
              </w:rPr>
              <w:t>投标（响应）供应商</w:t>
            </w:r>
          </w:p>
        </w:tc>
        <w:tc>
          <w:tcPr>
            <w:tcW w:w="2308" w:type="dxa"/>
            <w:gridSpan w:val="2"/>
            <w:shd w:val="clear" w:color="auto" w:fill="auto"/>
            <w:vAlign w:val="center"/>
          </w:tcPr>
          <w:p w14:paraId="3EFA9792">
            <w:pPr>
              <w:jc w:val="center"/>
              <w:rPr>
                <w:sz w:val="21"/>
                <w:szCs w:val="21"/>
              </w:rPr>
            </w:pPr>
          </w:p>
        </w:tc>
        <w:tc>
          <w:tcPr>
            <w:tcW w:w="2008" w:type="dxa"/>
            <w:gridSpan w:val="2"/>
            <w:shd w:val="clear" w:color="auto" w:fill="auto"/>
            <w:vAlign w:val="center"/>
          </w:tcPr>
          <w:p w14:paraId="2E95A278">
            <w:pPr>
              <w:jc w:val="center"/>
              <w:rPr>
                <w:sz w:val="21"/>
                <w:szCs w:val="21"/>
              </w:rPr>
            </w:pPr>
            <w:r>
              <w:rPr>
                <w:rFonts w:hint="eastAsia"/>
                <w:sz w:val="21"/>
                <w:szCs w:val="21"/>
              </w:rPr>
              <w:t>供应商统一社会信用代码</w:t>
            </w:r>
          </w:p>
        </w:tc>
        <w:tc>
          <w:tcPr>
            <w:tcW w:w="2735" w:type="dxa"/>
            <w:gridSpan w:val="2"/>
            <w:vAlign w:val="center"/>
          </w:tcPr>
          <w:p w14:paraId="3D8694AF">
            <w:pPr>
              <w:jc w:val="center"/>
              <w:rPr>
                <w:sz w:val="21"/>
                <w:szCs w:val="21"/>
              </w:rPr>
            </w:pPr>
          </w:p>
        </w:tc>
      </w:tr>
      <w:tr w14:paraId="75EE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8"/>
            <w:vAlign w:val="center"/>
          </w:tcPr>
          <w:p w14:paraId="5AB8930F">
            <w:pPr>
              <w:jc w:val="center"/>
              <w:rPr>
                <w:sz w:val="21"/>
                <w:szCs w:val="21"/>
              </w:rPr>
            </w:pPr>
            <w:r>
              <w:rPr>
                <w:rFonts w:hint="eastAsia"/>
                <w:sz w:val="21"/>
                <w:szCs w:val="21"/>
              </w:rPr>
              <w:t>投标（响应）供应商相关人员情况</w:t>
            </w:r>
          </w:p>
        </w:tc>
      </w:tr>
      <w:tr w14:paraId="3527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bottom w:val="single" w:color="auto" w:sz="4" w:space="0"/>
            </w:tcBorders>
            <w:vAlign w:val="center"/>
          </w:tcPr>
          <w:p w14:paraId="5AF2DA96">
            <w:pPr>
              <w:jc w:val="center"/>
              <w:rPr>
                <w:sz w:val="21"/>
                <w:szCs w:val="21"/>
              </w:rPr>
            </w:pPr>
            <w:r>
              <w:rPr>
                <w:rFonts w:hint="eastAsia"/>
                <w:sz w:val="21"/>
                <w:szCs w:val="21"/>
              </w:rPr>
              <w:t>序号</w:t>
            </w:r>
          </w:p>
        </w:tc>
        <w:tc>
          <w:tcPr>
            <w:tcW w:w="2160" w:type="dxa"/>
            <w:gridSpan w:val="2"/>
            <w:tcBorders>
              <w:bottom w:val="single" w:color="auto" w:sz="4" w:space="0"/>
            </w:tcBorders>
            <w:vAlign w:val="center"/>
          </w:tcPr>
          <w:p w14:paraId="31B8952B">
            <w:pPr>
              <w:jc w:val="center"/>
              <w:rPr>
                <w:sz w:val="21"/>
                <w:szCs w:val="21"/>
              </w:rPr>
            </w:pPr>
            <w:r>
              <w:rPr>
                <w:rFonts w:hint="eastAsia"/>
                <w:sz w:val="21"/>
                <w:szCs w:val="21"/>
              </w:rPr>
              <w:t>职务</w:t>
            </w:r>
          </w:p>
        </w:tc>
        <w:tc>
          <w:tcPr>
            <w:tcW w:w="908" w:type="dxa"/>
            <w:tcBorders>
              <w:bottom w:val="single" w:color="auto" w:sz="4" w:space="0"/>
            </w:tcBorders>
            <w:vAlign w:val="center"/>
          </w:tcPr>
          <w:p w14:paraId="113F62F3">
            <w:pPr>
              <w:jc w:val="center"/>
              <w:rPr>
                <w:sz w:val="21"/>
                <w:szCs w:val="21"/>
              </w:rPr>
            </w:pPr>
            <w:r>
              <w:rPr>
                <w:rFonts w:hint="eastAsia"/>
                <w:sz w:val="21"/>
                <w:szCs w:val="21"/>
              </w:rPr>
              <w:t>姓名</w:t>
            </w:r>
          </w:p>
        </w:tc>
        <w:tc>
          <w:tcPr>
            <w:tcW w:w="2008" w:type="dxa"/>
            <w:gridSpan w:val="2"/>
            <w:tcBorders>
              <w:bottom w:val="single" w:color="auto" w:sz="4" w:space="0"/>
            </w:tcBorders>
            <w:vAlign w:val="center"/>
          </w:tcPr>
          <w:p w14:paraId="47C3ACF7">
            <w:pPr>
              <w:jc w:val="center"/>
              <w:rPr>
                <w:sz w:val="21"/>
                <w:szCs w:val="21"/>
              </w:rPr>
            </w:pPr>
            <w:r>
              <w:rPr>
                <w:rFonts w:hint="eastAsia"/>
                <w:sz w:val="21"/>
                <w:szCs w:val="21"/>
              </w:rPr>
              <w:t>身份证号码</w:t>
            </w:r>
          </w:p>
        </w:tc>
        <w:tc>
          <w:tcPr>
            <w:tcW w:w="1318" w:type="dxa"/>
            <w:tcBorders>
              <w:bottom w:val="single" w:color="auto" w:sz="4" w:space="0"/>
            </w:tcBorders>
            <w:vAlign w:val="center"/>
          </w:tcPr>
          <w:p w14:paraId="38CF4B69">
            <w:pPr>
              <w:jc w:val="center"/>
              <w:rPr>
                <w:sz w:val="21"/>
                <w:szCs w:val="21"/>
              </w:rPr>
            </w:pPr>
            <w:r>
              <w:rPr>
                <w:rFonts w:hint="eastAsia"/>
                <w:sz w:val="21"/>
                <w:szCs w:val="21"/>
              </w:rPr>
              <w:t>劳动合同</w:t>
            </w:r>
          </w:p>
          <w:p w14:paraId="038CC028">
            <w:pPr>
              <w:jc w:val="center"/>
              <w:rPr>
                <w:sz w:val="21"/>
                <w:szCs w:val="21"/>
              </w:rPr>
            </w:pPr>
            <w:r>
              <w:rPr>
                <w:rFonts w:hint="eastAsia"/>
                <w:sz w:val="21"/>
                <w:szCs w:val="21"/>
              </w:rPr>
              <w:t>关系单位</w:t>
            </w:r>
          </w:p>
        </w:tc>
        <w:tc>
          <w:tcPr>
            <w:tcW w:w="1417" w:type="dxa"/>
            <w:tcBorders>
              <w:bottom w:val="single" w:color="auto" w:sz="4" w:space="0"/>
            </w:tcBorders>
            <w:vAlign w:val="center"/>
          </w:tcPr>
          <w:p w14:paraId="49B47D2C">
            <w:pPr>
              <w:jc w:val="center"/>
              <w:rPr>
                <w:sz w:val="21"/>
                <w:szCs w:val="21"/>
              </w:rPr>
            </w:pPr>
            <w:r>
              <w:rPr>
                <w:rFonts w:hint="eastAsia"/>
                <w:sz w:val="21"/>
                <w:szCs w:val="21"/>
              </w:rPr>
              <w:t>缴纳社会</w:t>
            </w:r>
          </w:p>
          <w:p w14:paraId="2C32D521">
            <w:pPr>
              <w:jc w:val="center"/>
              <w:rPr>
                <w:sz w:val="21"/>
                <w:szCs w:val="21"/>
              </w:rPr>
            </w:pPr>
            <w:r>
              <w:rPr>
                <w:rFonts w:hint="eastAsia"/>
                <w:sz w:val="21"/>
                <w:szCs w:val="21"/>
              </w:rPr>
              <w:t>保险单位</w:t>
            </w:r>
          </w:p>
        </w:tc>
      </w:tr>
      <w:tr w14:paraId="0772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14:paraId="3AD5B3DA">
            <w:pPr>
              <w:jc w:val="center"/>
              <w:rPr>
                <w:sz w:val="21"/>
                <w:szCs w:val="21"/>
              </w:rPr>
            </w:pPr>
            <w:r>
              <w:rPr>
                <w:rFonts w:hint="eastAsia"/>
                <w:sz w:val="21"/>
                <w:szCs w:val="21"/>
              </w:rPr>
              <w:t>1</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33618A50">
            <w:pPr>
              <w:jc w:val="center"/>
              <w:rPr>
                <w:sz w:val="21"/>
                <w:szCs w:val="21"/>
              </w:rPr>
            </w:pPr>
            <w:r>
              <w:rPr>
                <w:rFonts w:hint="eastAsia"/>
                <w:sz w:val="21"/>
                <w:szCs w:val="21"/>
              </w:rPr>
              <w:t>法定代表人/单位负责人/主要经营负责人</w:t>
            </w:r>
          </w:p>
        </w:tc>
        <w:tc>
          <w:tcPr>
            <w:tcW w:w="908" w:type="dxa"/>
            <w:tcBorders>
              <w:top w:val="single" w:color="auto" w:sz="4" w:space="0"/>
              <w:left w:val="single" w:color="auto" w:sz="4" w:space="0"/>
              <w:bottom w:val="single" w:color="auto" w:sz="4" w:space="0"/>
              <w:right w:val="single" w:color="auto" w:sz="4" w:space="0"/>
            </w:tcBorders>
            <w:vAlign w:val="center"/>
          </w:tcPr>
          <w:p w14:paraId="4003E9EB">
            <w:pPr>
              <w:jc w:val="center"/>
              <w:rPr>
                <w:sz w:val="21"/>
                <w:szCs w:val="21"/>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14:paraId="7131A174">
            <w:pPr>
              <w:jc w:val="center"/>
              <w:rPr>
                <w:sz w:val="21"/>
                <w:szCs w:val="21"/>
              </w:rPr>
            </w:pPr>
          </w:p>
        </w:tc>
        <w:tc>
          <w:tcPr>
            <w:tcW w:w="1318" w:type="dxa"/>
            <w:tcBorders>
              <w:top w:val="single" w:color="auto" w:sz="4" w:space="0"/>
              <w:left w:val="single" w:color="auto" w:sz="4" w:space="0"/>
              <w:bottom w:val="single" w:color="auto" w:sz="4" w:space="0"/>
              <w:right w:val="single" w:color="auto" w:sz="4" w:space="0"/>
            </w:tcBorders>
            <w:vAlign w:val="center"/>
          </w:tcPr>
          <w:p w14:paraId="180BCB1D">
            <w:pPr>
              <w:jc w:val="center"/>
              <w:rPr>
                <w:sz w:val="21"/>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177BE7A3">
            <w:pPr>
              <w:jc w:val="center"/>
              <w:rPr>
                <w:sz w:val="21"/>
                <w:szCs w:val="21"/>
              </w:rPr>
            </w:pPr>
          </w:p>
        </w:tc>
      </w:tr>
      <w:tr w14:paraId="71D9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3E372B77">
            <w:pPr>
              <w:jc w:val="center"/>
              <w:rPr>
                <w:sz w:val="21"/>
                <w:szCs w:val="21"/>
              </w:rPr>
            </w:pPr>
            <w:r>
              <w:rPr>
                <w:rFonts w:hint="eastAsia"/>
                <w:sz w:val="21"/>
                <w:szCs w:val="21"/>
              </w:rPr>
              <w:t>2</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658B381D">
            <w:pPr>
              <w:jc w:val="center"/>
              <w:rPr>
                <w:sz w:val="21"/>
                <w:szCs w:val="21"/>
              </w:rPr>
            </w:pPr>
            <w:r>
              <w:rPr>
                <w:rFonts w:hint="eastAsia"/>
                <w:sz w:val="21"/>
                <w:szCs w:val="21"/>
              </w:rPr>
              <w:t>项目投标授权代表人</w:t>
            </w:r>
          </w:p>
        </w:tc>
        <w:tc>
          <w:tcPr>
            <w:tcW w:w="908" w:type="dxa"/>
            <w:tcBorders>
              <w:top w:val="single" w:color="auto" w:sz="4" w:space="0"/>
              <w:left w:val="single" w:color="auto" w:sz="4" w:space="0"/>
              <w:bottom w:val="single" w:color="auto" w:sz="4" w:space="0"/>
              <w:right w:val="single" w:color="auto" w:sz="4" w:space="0"/>
            </w:tcBorders>
            <w:vAlign w:val="center"/>
          </w:tcPr>
          <w:p w14:paraId="28F4A01B">
            <w:pPr>
              <w:jc w:val="center"/>
              <w:rPr>
                <w:sz w:val="21"/>
                <w:szCs w:val="21"/>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14:paraId="4BAEF10B">
            <w:pPr>
              <w:jc w:val="center"/>
              <w:rPr>
                <w:sz w:val="21"/>
                <w:szCs w:val="21"/>
              </w:rPr>
            </w:pPr>
          </w:p>
        </w:tc>
        <w:tc>
          <w:tcPr>
            <w:tcW w:w="1318" w:type="dxa"/>
            <w:tcBorders>
              <w:top w:val="single" w:color="auto" w:sz="4" w:space="0"/>
              <w:left w:val="single" w:color="auto" w:sz="4" w:space="0"/>
              <w:bottom w:val="single" w:color="auto" w:sz="4" w:space="0"/>
              <w:right w:val="single" w:color="auto" w:sz="4" w:space="0"/>
            </w:tcBorders>
            <w:vAlign w:val="center"/>
          </w:tcPr>
          <w:p w14:paraId="1162068B">
            <w:pPr>
              <w:jc w:val="center"/>
              <w:rPr>
                <w:sz w:val="21"/>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78A1CA46">
            <w:pPr>
              <w:jc w:val="center"/>
              <w:rPr>
                <w:sz w:val="21"/>
                <w:szCs w:val="21"/>
              </w:rPr>
            </w:pPr>
          </w:p>
        </w:tc>
      </w:tr>
      <w:tr w14:paraId="35AB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tcBorders>
            <w:vAlign w:val="center"/>
          </w:tcPr>
          <w:p w14:paraId="4E765AD2">
            <w:pPr>
              <w:jc w:val="center"/>
              <w:rPr>
                <w:sz w:val="21"/>
                <w:szCs w:val="21"/>
              </w:rPr>
            </w:pPr>
            <w:r>
              <w:rPr>
                <w:rFonts w:hint="eastAsia"/>
                <w:sz w:val="21"/>
                <w:szCs w:val="21"/>
              </w:rPr>
              <w:t>3</w:t>
            </w:r>
          </w:p>
        </w:tc>
        <w:tc>
          <w:tcPr>
            <w:tcW w:w="2160" w:type="dxa"/>
            <w:gridSpan w:val="2"/>
            <w:tcBorders>
              <w:top w:val="single" w:color="auto" w:sz="4" w:space="0"/>
            </w:tcBorders>
            <w:vAlign w:val="center"/>
          </w:tcPr>
          <w:p w14:paraId="2D87185C">
            <w:pPr>
              <w:jc w:val="center"/>
              <w:rPr>
                <w:sz w:val="21"/>
                <w:szCs w:val="21"/>
              </w:rPr>
            </w:pPr>
            <w:r>
              <w:rPr>
                <w:rFonts w:hint="eastAsia"/>
                <w:sz w:val="21"/>
                <w:szCs w:val="21"/>
              </w:rPr>
              <w:t>项目负责人</w:t>
            </w:r>
          </w:p>
        </w:tc>
        <w:tc>
          <w:tcPr>
            <w:tcW w:w="908" w:type="dxa"/>
            <w:tcBorders>
              <w:top w:val="single" w:color="auto" w:sz="4" w:space="0"/>
            </w:tcBorders>
            <w:vAlign w:val="center"/>
          </w:tcPr>
          <w:p w14:paraId="32BE54BE">
            <w:pPr>
              <w:jc w:val="center"/>
              <w:rPr>
                <w:sz w:val="21"/>
                <w:szCs w:val="21"/>
              </w:rPr>
            </w:pPr>
          </w:p>
        </w:tc>
        <w:tc>
          <w:tcPr>
            <w:tcW w:w="2008" w:type="dxa"/>
            <w:gridSpan w:val="2"/>
            <w:tcBorders>
              <w:top w:val="single" w:color="auto" w:sz="4" w:space="0"/>
            </w:tcBorders>
            <w:vAlign w:val="center"/>
          </w:tcPr>
          <w:p w14:paraId="4AC5D643">
            <w:pPr>
              <w:jc w:val="center"/>
              <w:rPr>
                <w:sz w:val="21"/>
                <w:szCs w:val="21"/>
              </w:rPr>
            </w:pPr>
          </w:p>
        </w:tc>
        <w:tc>
          <w:tcPr>
            <w:tcW w:w="1318" w:type="dxa"/>
            <w:tcBorders>
              <w:top w:val="single" w:color="auto" w:sz="4" w:space="0"/>
            </w:tcBorders>
            <w:vAlign w:val="center"/>
          </w:tcPr>
          <w:p w14:paraId="22B9AEFE">
            <w:pPr>
              <w:jc w:val="center"/>
              <w:rPr>
                <w:sz w:val="21"/>
                <w:szCs w:val="21"/>
              </w:rPr>
            </w:pPr>
          </w:p>
        </w:tc>
        <w:tc>
          <w:tcPr>
            <w:tcW w:w="1417" w:type="dxa"/>
            <w:tcBorders>
              <w:top w:val="single" w:color="auto" w:sz="4" w:space="0"/>
            </w:tcBorders>
            <w:vAlign w:val="center"/>
          </w:tcPr>
          <w:p w14:paraId="487B1A45">
            <w:pPr>
              <w:jc w:val="center"/>
              <w:rPr>
                <w:sz w:val="21"/>
                <w:szCs w:val="21"/>
              </w:rPr>
            </w:pPr>
          </w:p>
        </w:tc>
      </w:tr>
      <w:tr w14:paraId="2759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1264E92D">
            <w:pPr>
              <w:jc w:val="center"/>
              <w:rPr>
                <w:sz w:val="21"/>
                <w:szCs w:val="21"/>
              </w:rPr>
            </w:pPr>
            <w:r>
              <w:rPr>
                <w:rFonts w:hint="eastAsia"/>
                <w:sz w:val="21"/>
                <w:szCs w:val="21"/>
              </w:rPr>
              <w:t>4</w:t>
            </w:r>
          </w:p>
        </w:tc>
        <w:tc>
          <w:tcPr>
            <w:tcW w:w="2160" w:type="dxa"/>
            <w:gridSpan w:val="2"/>
            <w:vAlign w:val="center"/>
          </w:tcPr>
          <w:p w14:paraId="4452145A">
            <w:pPr>
              <w:jc w:val="center"/>
              <w:rPr>
                <w:sz w:val="21"/>
                <w:szCs w:val="21"/>
              </w:rPr>
            </w:pPr>
            <w:r>
              <w:rPr>
                <w:rFonts w:hint="eastAsia"/>
                <w:sz w:val="21"/>
                <w:szCs w:val="21"/>
              </w:rPr>
              <w:t>主要技术人员</w:t>
            </w:r>
          </w:p>
        </w:tc>
        <w:tc>
          <w:tcPr>
            <w:tcW w:w="908" w:type="dxa"/>
            <w:vAlign w:val="center"/>
          </w:tcPr>
          <w:p w14:paraId="1BE39298">
            <w:pPr>
              <w:jc w:val="center"/>
              <w:rPr>
                <w:sz w:val="21"/>
                <w:szCs w:val="21"/>
              </w:rPr>
            </w:pPr>
          </w:p>
        </w:tc>
        <w:tc>
          <w:tcPr>
            <w:tcW w:w="2008" w:type="dxa"/>
            <w:gridSpan w:val="2"/>
            <w:vAlign w:val="center"/>
          </w:tcPr>
          <w:p w14:paraId="047B9927">
            <w:pPr>
              <w:jc w:val="center"/>
              <w:rPr>
                <w:sz w:val="21"/>
                <w:szCs w:val="21"/>
              </w:rPr>
            </w:pPr>
          </w:p>
        </w:tc>
        <w:tc>
          <w:tcPr>
            <w:tcW w:w="1318" w:type="dxa"/>
            <w:vAlign w:val="center"/>
          </w:tcPr>
          <w:p w14:paraId="14AF2F08">
            <w:pPr>
              <w:jc w:val="center"/>
              <w:rPr>
                <w:sz w:val="21"/>
                <w:szCs w:val="21"/>
              </w:rPr>
            </w:pPr>
          </w:p>
        </w:tc>
        <w:tc>
          <w:tcPr>
            <w:tcW w:w="1417" w:type="dxa"/>
            <w:vAlign w:val="center"/>
          </w:tcPr>
          <w:p w14:paraId="1FAC12C9">
            <w:pPr>
              <w:jc w:val="center"/>
              <w:rPr>
                <w:sz w:val="21"/>
                <w:szCs w:val="21"/>
              </w:rPr>
            </w:pPr>
          </w:p>
        </w:tc>
      </w:tr>
      <w:tr w14:paraId="496B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2C54EDC1">
            <w:pPr>
              <w:jc w:val="center"/>
              <w:rPr>
                <w:sz w:val="21"/>
                <w:szCs w:val="21"/>
              </w:rPr>
            </w:pPr>
            <w:r>
              <w:rPr>
                <w:rFonts w:hint="eastAsia"/>
                <w:sz w:val="21"/>
                <w:szCs w:val="21"/>
              </w:rPr>
              <w:t>5</w:t>
            </w:r>
          </w:p>
        </w:tc>
        <w:tc>
          <w:tcPr>
            <w:tcW w:w="2160" w:type="dxa"/>
            <w:gridSpan w:val="2"/>
            <w:vAlign w:val="center"/>
          </w:tcPr>
          <w:p w14:paraId="5131DF40">
            <w:pPr>
              <w:jc w:val="center"/>
              <w:rPr>
                <w:sz w:val="21"/>
                <w:szCs w:val="21"/>
              </w:rPr>
            </w:pPr>
            <w:r>
              <w:rPr>
                <w:rFonts w:hint="eastAsia"/>
                <w:sz w:val="21"/>
                <w:szCs w:val="21"/>
              </w:rPr>
              <w:t>投标文件编制人员</w:t>
            </w:r>
          </w:p>
        </w:tc>
        <w:tc>
          <w:tcPr>
            <w:tcW w:w="908" w:type="dxa"/>
            <w:vAlign w:val="center"/>
          </w:tcPr>
          <w:p w14:paraId="014E87CD">
            <w:pPr>
              <w:jc w:val="center"/>
              <w:rPr>
                <w:sz w:val="21"/>
                <w:szCs w:val="21"/>
              </w:rPr>
            </w:pPr>
          </w:p>
        </w:tc>
        <w:tc>
          <w:tcPr>
            <w:tcW w:w="2008" w:type="dxa"/>
            <w:gridSpan w:val="2"/>
            <w:vAlign w:val="center"/>
          </w:tcPr>
          <w:p w14:paraId="3CBC6604">
            <w:pPr>
              <w:jc w:val="center"/>
              <w:rPr>
                <w:sz w:val="21"/>
                <w:szCs w:val="21"/>
              </w:rPr>
            </w:pPr>
          </w:p>
        </w:tc>
        <w:tc>
          <w:tcPr>
            <w:tcW w:w="1318" w:type="dxa"/>
            <w:vAlign w:val="center"/>
          </w:tcPr>
          <w:p w14:paraId="22A2772E">
            <w:pPr>
              <w:jc w:val="center"/>
              <w:rPr>
                <w:sz w:val="21"/>
                <w:szCs w:val="21"/>
              </w:rPr>
            </w:pPr>
          </w:p>
        </w:tc>
        <w:tc>
          <w:tcPr>
            <w:tcW w:w="1417" w:type="dxa"/>
            <w:vAlign w:val="center"/>
          </w:tcPr>
          <w:p w14:paraId="4DC2E8D7">
            <w:pPr>
              <w:jc w:val="center"/>
              <w:rPr>
                <w:sz w:val="21"/>
                <w:szCs w:val="21"/>
              </w:rPr>
            </w:pPr>
          </w:p>
        </w:tc>
      </w:tr>
      <w:tr w14:paraId="19AF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8"/>
            <w:vAlign w:val="center"/>
          </w:tcPr>
          <w:p w14:paraId="380457F7">
            <w:pPr>
              <w:jc w:val="center"/>
              <w:rPr>
                <w:sz w:val="21"/>
                <w:szCs w:val="21"/>
              </w:rPr>
            </w:pPr>
            <w:r>
              <w:rPr>
                <w:rFonts w:hint="eastAsia"/>
                <w:sz w:val="21"/>
                <w:szCs w:val="21"/>
              </w:rPr>
              <w:t>说明：同一职务有多人担任（如主要技术人员），应分行填写。</w:t>
            </w:r>
          </w:p>
        </w:tc>
      </w:tr>
      <w:tr w14:paraId="63E2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529" w:type="dxa"/>
            <w:gridSpan w:val="8"/>
            <w:vAlign w:val="center"/>
          </w:tcPr>
          <w:p w14:paraId="78EE2A86">
            <w:pPr>
              <w:jc w:val="center"/>
              <w:rPr>
                <w:sz w:val="21"/>
                <w:szCs w:val="21"/>
              </w:rPr>
            </w:pPr>
            <w:r>
              <w:rPr>
                <w:rFonts w:hint="eastAsia"/>
                <w:sz w:val="21"/>
                <w:szCs w:val="21"/>
              </w:rPr>
              <w:t>投标（响应）供应商关联关系情况</w:t>
            </w:r>
          </w:p>
        </w:tc>
      </w:tr>
      <w:tr w14:paraId="2C1A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bottom w:val="single" w:color="auto" w:sz="4" w:space="0"/>
            </w:tcBorders>
            <w:vAlign w:val="center"/>
          </w:tcPr>
          <w:p w14:paraId="79CD94A5">
            <w:pPr>
              <w:jc w:val="center"/>
              <w:rPr>
                <w:sz w:val="21"/>
                <w:szCs w:val="21"/>
              </w:rPr>
            </w:pPr>
            <w:r>
              <w:rPr>
                <w:rFonts w:hint="eastAsia"/>
                <w:sz w:val="21"/>
                <w:szCs w:val="21"/>
              </w:rPr>
              <w:t>序号</w:t>
            </w:r>
          </w:p>
        </w:tc>
        <w:tc>
          <w:tcPr>
            <w:tcW w:w="2160" w:type="dxa"/>
            <w:gridSpan w:val="2"/>
            <w:tcBorders>
              <w:bottom w:val="single" w:color="auto" w:sz="4" w:space="0"/>
            </w:tcBorders>
            <w:vAlign w:val="center"/>
          </w:tcPr>
          <w:p w14:paraId="5ECC66FD">
            <w:pPr>
              <w:jc w:val="center"/>
              <w:rPr>
                <w:sz w:val="21"/>
                <w:szCs w:val="21"/>
              </w:rPr>
            </w:pPr>
            <w:r>
              <w:rPr>
                <w:rFonts w:hint="eastAsia"/>
                <w:sz w:val="21"/>
                <w:szCs w:val="21"/>
              </w:rPr>
              <w:t>关联关系类型</w:t>
            </w:r>
          </w:p>
        </w:tc>
        <w:tc>
          <w:tcPr>
            <w:tcW w:w="1661" w:type="dxa"/>
            <w:gridSpan w:val="2"/>
            <w:tcBorders>
              <w:bottom w:val="single" w:color="auto" w:sz="4" w:space="0"/>
            </w:tcBorders>
            <w:vAlign w:val="center"/>
          </w:tcPr>
          <w:p w14:paraId="6297EB13">
            <w:pPr>
              <w:jc w:val="center"/>
              <w:rPr>
                <w:sz w:val="21"/>
                <w:szCs w:val="21"/>
              </w:rPr>
            </w:pPr>
            <w:r>
              <w:rPr>
                <w:rFonts w:hint="eastAsia"/>
                <w:sz w:val="21"/>
                <w:szCs w:val="21"/>
              </w:rPr>
              <w:t>关联主体名称</w:t>
            </w:r>
          </w:p>
        </w:tc>
        <w:tc>
          <w:tcPr>
            <w:tcW w:w="3990" w:type="dxa"/>
            <w:gridSpan w:val="3"/>
            <w:tcBorders>
              <w:bottom w:val="single" w:color="auto" w:sz="4" w:space="0"/>
            </w:tcBorders>
            <w:vAlign w:val="center"/>
          </w:tcPr>
          <w:p w14:paraId="792218B5">
            <w:pPr>
              <w:jc w:val="center"/>
              <w:rPr>
                <w:sz w:val="21"/>
                <w:szCs w:val="21"/>
              </w:rPr>
            </w:pPr>
            <w:r>
              <w:rPr>
                <w:rFonts w:hint="eastAsia"/>
                <w:sz w:val="21"/>
                <w:szCs w:val="21"/>
              </w:rPr>
              <w:t>备注</w:t>
            </w:r>
          </w:p>
        </w:tc>
      </w:tr>
      <w:tr w14:paraId="0B71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1B0438F6">
            <w:pPr>
              <w:jc w:val="center"/>
              <w:rPr>
                <w:sz w:val="21"/>
                <w:szCs w:val="21"/>
              </w:rPr>
            </w:pPr>
            <w:r>
              <w:rPr>
                <w:rFonts w:hint="eastAsia"/>
                <w:sz w:val="21"/>
                <w:szCs w:val="21"/>
              </w:rPr>
              <w:t>1</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0C0A070B">
            <w:pPr>
              <w:jc w:val="center"/>
              <w:rPr>
                <w:sz w:val="21"/>
                <w:szCs w:val="21"/>
              </w:rPr>
            </w:pPr>
            <w:r>
              <w:rPr>
                <w:rFonts w:hint="eastAsia"/>
                <w:sz w:val="21"/>
                <w:szCs w:val="21"/>
              </w:rPr>
              <w:t>控股股东</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77BCE405">
            <w:pPr>
              <w:jc w:val="center"/>
              <w:rPr>
                <w:sz w:val="21"/>
                <w:szCs w:val="21"/>
              </w:rPr>
            </w:pPr>
          </w:p>
        </w:tc>
        <w:tc>
          <w:tcPr>
            <w:tcW w:w="3990" w:type="dxa"/>
            <w:gridSpan w:val="3"/>
            <w:tcBorders>
              <w:top w:val="single" w:color="auto" w:sz="4" w:space="0"/>
              <w:left w:val="single" w:color="auto" w:sz="4" w:space="0"/>
              <w:bottom w:val="single" w:color="auto" w:sz="4" w:space="0"/>
              <w:right w:val="single" w:color="auto" w:sz="4" w:space="0"/>
            </w:tcBorders>
            <w:vAlign w:val="center"/>
          </w:tcPr>
          <w:p w14:paraId="24848868">
            <w:pPr>
              <w:jc w:val="center"/>
              <w:rPr>
                <w:sz w:val="21"/>
                <w:szCs w:val="21"/>
              </w:rPr>
            </w:pPr>
            <w:r>
              <w:rPr>
                <w:rFonts w:hint="eastAsia"/>
                <w:sz w:val="21"/>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212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14:paraId="274D58C0">
            <w:pPr>
              <w:jc w:val="center"/>
              <w:rPr>
                <w:sz w:val="21"/>
                <w:szCs w:val="21"/>
              </w:rPr>
            </w:pPr>
            <w:r>
              <w:rPr>
                <w:rFonts w:hint="eastAsia"/>
                <w:sz w:val="21"/>
                <w:szCs w:val="21"/>
              </w:rPr>
              <w:t>2</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5D527844">
            <w:pPr>
              <w:jc w:val="center"/>
              <w:rPr>
                <w:sz w:val="21"/>
                <w:szCs w:val="21"/>
              </w:rPr>
            </w:pPr>
            <w:r>
              <w:rPr>
                <w:rFonts w:hint="eastAsia"/>
                <w:sz w:val="21"/>
                <w:szCs w:val="21"/>
              </w:rPr>
              <w:t>管理关系</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3FDCC396">
            <w:pPr>
              <w:jc w:val="center"/>
              <w:rPr>
                <w:sz w:val="21"/>
                <w:szCs w:val="21"/>
              </w:rPr>
            </w:pPr>
          </w:p>
        </w:tc>
        <w:tc>
          <w:tcPr>
            <w:tcW w:w="3990" w:type="dxa"/>
            <w:gridSpan w:val="3"/>
            <w:tcBorders>
              <w:top w:val="single" w:color="auto" w:sz="4" w:space="0"/>
              <w:left w:val="single" w:color="auto" w:sz="4" w:space="0"/>
              <w:bottom w:val="single" w:color="auto" w:sz="4" w:space="0"/>
              <w:right w:val="single" w:color="auto" w:sz="4" w:space="0"/>
            </w:tcBorders>
            <w:vAlign w:val="center"/>
          </w:tcPr>
          <w:p w14:paraId="13482723">
            <w:pPr>
              <w:jc w:val="center"/>
              <w:rPr>
                <w:sz w:val="21"/>
                <w:szCs w:val="21"/>
              </w:rPr>
            </w:pPr>
            <w:r>
              <w:rPr>
                <w:rFonts w:hint="eastAsia"/>
                <w:sz w:val="21"/>
                <w:szCs w:val="21"/>
              </w:rPr>
              <w:t>指对投标（响应）供应商不具有出资持股关系，但对其存在管理关系的主体。</w:t>
            </w:r>
          </w:p>
        </w:tc>
      </w:tr>
      <w:tr w14:paraId="12CD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29" w:type="dxa"/>
            <w:gridSpan w:val="8"/>
            <w:tcBorders>
              <w:top w:val="single" w:color="auto" w:sz="4" w:space="0"/>
              <w:left w:val="single" w:color="auto" w:sz="4" w:space="0"/>
              <w:bottom w:val="single" w:color="auto" w:sz="4" w:space="0"/>
              <w:right w:val="single" w:color="auto" w:sz="4" w:space="0"/>
            </w:tcBorders>
            <w:vAlign w:val="center"/>
          </w:tcPr>
          <w:p w14:paraId="1F8029BD">
            <w:pPr>
              <w:jc w:val="left"/>
              <w:rPr>
                <w:sz w:val="21"/>
                <w:szCs w:val="21"/>
              </w:rPr>
            </w:pPr>
            <w:r>
              <w:rPr>
                <w:rFonts w:hint="eastAsia"/>
                <w:b/>
                <w:bCs/>
                <w:sz w:val="21"/>
                <w:szCs w:val="21"/>
              </w:rPr>
              <w:t>说明：同一关联关系类型有多个主体的，应分行填写。</w:t>
            </w:r>
          </w:p>
        </w:tc>
      </w:tr>
    </w:tbl>
    <w:p w14:paraId="019FC56F">
      <w:pPr>
        <w:rPr>
          <w:sz w:val="21"/>
          <w:szCs w:val="21"/>
        </w:rPr>
      </w:pPr>
    </w:p>
    <w:p w14:paraId="008295DD">
      <w:pPr>
        <w:rPr>
          <w:sz w:val="21"/>
          <w:szCs w:val="21"/>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039D1C"/>
    <w:multiLevelType w:val="multilevel"/>
    <w:tmpl w:val="8C039D1C"/>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
    <w:nsid w:val="07484C80"/>
    <w:multiLevelType w:val="singleLevel"/>
    <w:tmpl w:val="07484C80"/>
    <w:lvl w:ilvl="0" w:tentative="0">
      <w:start w:val="3"/>
      <w:numFmt w:val="chineseCounting"/>
      <w:suff w:val="nothing"/>
      <w:lvlText w:val="（%1）"/>
      <w:lvlJc w:val="left"/>
      <w:rPr>
        <w:rFonts w:hint="eastAsia"/>
      </w:rPr>
    </w:lvl>
  </w:abstractNum>
  <w:abstractNum w:abstractNumId="2">
    <w:nsid w:val="736C732A"/>
    <w:multiLevelType w:val="singleLevel"/>
    <w:tmpl w:val="736C732A"/>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D1358F"/>
    <w:rsid w:val="00047B62"/>
    <w:rsid w:val="00091798"/>
    <w:rsid w:val="00094B99"/>
    <w:rsid w:val="0032237E"/>
    <w:rsid w:val="004010DC"/>
    <w:rsid w:val="006572F4"/>
    <w:rsid w:val="00866837"/>
    <w:rsid w:val="00BF241D"/>
    <w:rsid w:val="01516D6B"/>
    <w:rsid w:val="02303E75"/>
    <w:rsid w:val="02496B13"/>
    <w:rsid w:val="02523FF9"/>
    <w:rsid w:val="02771412"/>
    <w:rsid w:val="029C258E"/>
    <w:rsid w:val="036B66A9"/>
    <w:rsid w:val="038C3749"/>
    <w:rsid w:val="041B6E68"/>
    <w:rsid w:val="04506958"/>
    <w:rsid w:val="05C82F20"/>
    <w:rsid w:val="05F077E4"/>
    <w:rsid w:val="06081AD1"/>
    <w:rsid w:val="06304AE0"/>
    <w:rsid w:val="064317D4"/>
    <w:rsid w:val="066C1F56"/>
    <w:rsid w:val="076177BE"/>
    <w:rsid w:val="07A22E01"/>
    <w:rsid w:val="08823FD8"/>
    <w:rsid w:val="08C07FF1"/>
    <w:rsid w:val="08CE6557"/>
    <w:rsid w:val="08D64FB2"/>
    <w:rsid w:val="09AB2883"/>
    <w:rsid w:val="09D15E64"/>
    <w:rsid w:val="09D21E48"/>
    <w:rsid w:val="0A5662F9"/>
    <w:rsid w:val="0A5C0B72"/>
    <w:rsid w:val="0A9F77B6"/>
    <w:rsid w:val="0B721CE3"/>
    <w:rsid w:val="0B8029CB"/>
    <w:rsid w:val="0B8B5F05"/>
    <w:rsid w:val="0BCF64B8"/>
    <w:rsid w:val="0BE5424A"/>
    <w:rsid w:val="0C474A8F"/>
    <w:rsid w:val="0C6853B1"/>
    <w:rsid w:val="0CA72895"/>
    <w:rsid w:val="0CE7094A"/>
    <w:rsid w:val="0CFA611E"/>
    <w:rsid w:val="0D987E87"/>
    <w:rsid w:val="0E3068D2"/>
    <w:rsid w:val="0ECE1952"/>
    <w:rsid w:val="0F40200A"/>
    <w:rsid w:val="0F42099D"/>
    <w:rsid w:val="0FE002D2"/>
    <w:rsid w:val="108E0863"/>
    <w:rsid w:val="109E2735"/>
    <w:rsid w:val="10A203BA"/>
    <w:rsid w:val="10E031BD"/>
    <w:rsid w:val="11FF7B73"/>
    <w:rsid w:val="120C701C"/>
    <w:rsid w:val="124F296F"/>
    <w:rsid w:val="12875663"/>
    <w:rsid w:val="1289676C"/>
    <w:rsid w:val="128B1990"/>
    <w:rsid w:val="135266A8"/>
    <w:rsid w:val="13E1581F"/>
    <w:rsid w:val="14013C2A"/>
    <w:rsid w:val="140E57F5"/>
    <w:rsid w:val="14371F85"/>
    <w:rsid w:val="151E4687"/>
    <w:rsid w:val="15B21810"/>
    <w:rsid w:val="15F3041B"/>
    <w:rsid w:val="166710BD"/>
    <w:rsid w:val="16842399"/>
    <w:rsid w:val="16857B11"/>
    <w:rsid w:val="16BB7E64"/>
    <w:rsid w:val="170E3AFE"/>
    <w:rsid w:val="1733750C"/>
    <w:rsid w:val="18524D56"/>
    <w:rsid w:val="18850ED6"/>
    <w:rsid w:val="18974F9D"/>
    <w:rsid w:val="18EC410A"/>
    <w:rsid w:val="19A47CFF"/>
    <w:rsid w:val="19C4384B"/>
    <w:rsid w:val="1A115748"/>
    <w:rsid w:val="1A702137"/>
    <w:rsid w:val="1A720AF1"/>
    <w:rsid w:val="1B30746A"/>
    <w:rsid w:val="1BBA593A"/>
    <w:rsid w:val="1C711B71"/>
    <w:rsid w:val="1C850E83"/>
    <w:rsid w:val="1C8E23C6"/>
    <w:rsid w:val="1CB8206A"/>
    <w:rsid w:val="1CD537DE"/>
    <w:rsid w:val="1D402D9C"/>
    <w:rsid w:val="1DA14DD1"/>
    <w:rsid w:val="1DC5452F"/>
    <w:rsid w:val="1E3C5744"/>
    <w:rsid w:val="1EE35161"/>
    <w:rsid w:val="20873512"/>
    <w:rsid w:val="20F16491"/>
    <w:rsid w:val="20F71C64"/>
    <w:rsid w:val="21D65BF0"/>
    <w:rsid w:val="22237B08"/>
    <w:rsid w:val="22427108"/>
    <w:rsid w:val="22A4235C"/>
    <w:rsid w:val="23173D00"/>
    <w:rsid w:val="234B621C"/>
    <w:rsid w:val="23C6129C"/>
    <w:rsid w:val="251437DA"/>
    <w:rsid w:val="25CA1D68"/>
    <w:rsid w:val="26211257"/>
    <w:rsid w:val="26382922"/>
    <w:rsid w:val="273D4D67"/>
    <w:rsid w:val="274615A9"/>
    <w:rsid w:val="27533BBD"/>
    <w:rsid w:val="27A91668"/>
    <w:rsid w:val="280E786D"/>
    <w:rsid w:val="283B65D6"/>
    <w:rsid w:val="284C4327"/>
    <w:rsid w:val="288B64F2"/>
    <w:rsid w:val="2A1C51CD"/>
    <w:rsid w:val="2B2D1489"/>
    <w:rsid w:val="2BE721E0"/>
    <w:rsid w:val="2C3A2B23"/>
    <w:rsid w:val="2C472932"/>
    <w:rsid w:val="2C7D3F08"/>
    <w:rsid w:val="2CC159A9"/>
    <w:rsid w:val="2CDE3070"/>
    <w:rsid w:val="2D637EA0"/>
    <w:rsid w:val="2D8F2C07"/>
    <w:rsid w:val="2D9940A5"/>
    <w:rsid w:val="2F083F3F"/>
    <w:rsid w:val="2FF2212E"/>
    <w:rsid w:val="303B55B5"/>
    <w:rsid w:val="30600313"/>
    <w:rsid w:val="3077434A"/>
    <w:rsid w:val="30BE2AFC"/>
    <w:rsid w:val="317A14F9"/>
    <w:rsid w:val="31A959C0"/>
    <w:rsid w:val="31BE4652"/>
    <w:rsid w:val="3208417C"/>
    <w:rsid w:val="3239712D"/>
    <w:rsid w:val="32D402A7"/>
    <w:rsid w:val="332B113B"/>
    <w:rsid w:val="335D2E00"/>
    <w:rsid w:val="354716AF"/>
    <w:rsid w:val="3564026D"/>
    <w:rsid w:val="35967134"/>
    <w:rsid w:val="35D951F8"/>
    <w:rsid w:val="35E75F71"/>
    <w:rsid w:val="360B6477"/>
    <w:rsid w:val="36D63BCB"/>
    <w:rsid w:val="36E30A34"/>
    <w:rsid w:val="375852F2"/>
    <w:rsid w:val="37C37EE8"/>
    <w:rsid w:val="37F121F3"/>
    <w:rsid w:val="38085241"/>
    <w:rsid w:val="381476C1"/>
    <w:rsid w:val="38EA054F"/>
    <w:rsid w:val="38FE0874"/>
    <w:rsid w:val="39475442"/>
    <w:rsid w:val="3AAC46CE"/>
    <w:rsid w:val="3ADE2F5A"/>
    <w:rsid w:val="3C28151E"/>
    <w:rsid w:val="3C364472"/>
    <w:rsid w:val="3D0616DE"/>
    <w:rsid w:val="3D1723B4"/>
    <w:rsid w:val="3D881701"/>
    <w:rsid w:val="3D905B19"/>
    <w:rsid w:val="3D9C460C"/>
    <w:rsid w:val="3DAA497A"/>
    <w:rsid w:val="3FE735B5"/>
    <w:rsid w:val="408F5F95"/>
    <w:rsid w:val="413A711F"/>
    <w:rsid w:val="41786243"/>
    <w:rsid w:val="41786850"/>
    <w:rsid w:val="42786EE1"/>
    <w:rsid w:val="42AD3D91"/>
    <w:rsid w:val="42E46EC8"/>
    <w:rsid w:val="42ED1397"/>
    <w:rsid w:val="43A511C4"/>
    <w:rsid w:val="43EC4FC9"/>
    <w:rsid w:val="44071CEA"/>
    <w:rsid w:val="45A84480"/>
    <w:rsid w:val="45E132A9"/>
    <w:rsid w:val="465F441A"/>
    <w:rsid w:val="476719EB"/>
    <w:rsid w:val="48662915"/>
    <w:rsid w:val="48774737"/>
    <w:rsid w:val="48BA5ECB"/>
    <w:rsid w:val="48CE0E34"/>
    <w:rsid w:val="48D833EF"/>
    <w:rsid w:val="49385358"/>
    <w:rsid w:val="495031B5"/>
    <w:rsid w:val="49541922"/>
    <w:rsid w:val="4AE80EA0"/>
    <w:rsid w:val="4B817846"/>
    <w:rsid w:val="4B8F21FB"/>
    <w:rsid w:val="4B9242B5"/>
    <w:rsid w:val="4BBA25AB"/>
    <w:rsid w:val="4BFD138A"/>
    <w:rsid w:val="4C2F6DEE"/>
    <w:rsid w:val="4D1B0752"/>
    <w:rsid w:val="4D510EAD"/>
    <w:rsid w:val="4D610465"/>
    <w:rsid w:val="4E4643AE"/>
    <w:rsid w:val="4E5737BB"/>
    <w:rsid w:val="4EC3480B"/>
    <w:rsid w:val="4F8E4C65"/>
    <w:rsid w:val="4FC94CEF"/>
    <w:rsid w:val="50477376"/>
    <w:rsid w:val="507C6F78"/>
    <w:rsid w:val="50A90973"/>
    <w:rsid w:val="510B7D51"/>
    <w:rsid w:val="5135591D"/>
    <w:rsid w:val="51473A1F"/>
    <w:rsid w:val="517754EA"/>
    <w:rsid w:val="51A36E42"/>
    <w:rsid w:val="51BE23C6"/>
    <w:rsid w:val="52247132"/>
    <w:rsid w:val="523235EB"/>
    <w:rsid w:val="528B0815"/>
    <w:rsid w:val="52DE59A0"/>
    <w:rsid w:val="52EF5596"/>
    <w:rsid w:val="531C7DD9"/>
    <w:rsid w:val="5358562F"/>
    <w:rsid w:val="53EE0A95"/>
    <w:rsid w:val="53F81A3A"/>
    <w:rsid w:val="54684787"/>
    <w:rsid w:val="5481527C"/>
    <w:rsid w:val="55121EEE"/>
    <w:rsid w:val="556114C1"/>
    <w:rsid w:val="55973999"/>
    <w:rsid w:val="565D2FDB"/>
    <w:rsid w:val="56697F52"/>
    <w:rsid w:val="56A3621A"/>
    <w:rsid w:val="570A714B"/>
    <w:rsid w:val="57194A45"/>
    <w:rsid w:val="572D403D"/>
    <w:rsid w:val="578509E1"/>
    <w:rsid w:val="584A3AEB"/>
    <w:rsid w:val="58FA3BE6"/>
    <w:rsid w:val="58FE5788"/>
    <w:rsid w:val="590A2FC1"/>
    <w:rsid w:val="595601A4"/>
    <w:rsid w:val="5A0D2F03"/>
    <w:rsid w:val="5A246942"/>
    <w:rsid w:val="5AED0078"/>
    <w:rsid w:val="5AF33976"/>
    <w:rsid w:val="5B092A87"/>
    <w:rsid w:val="5B783C8D"/>
    <w:rsid w:val="5BC90892"/>
    <w:rsid w:val="5C080C44"/>
    <w:rsid w:val="5C2F1EBF"/>
    <w:rsid w:val="5C3C4B88"/>
    <w:rsid w:val="5C956CE1"/>
    <w:rsid w:val="5CB816F0"/>
    <w:rsid w:val="5D47265F"/>
    <w:rsid w:val="5E0A43F3"/>
    <w:rsid w:val="5E485EC6"/>
    <w:rsid w:val="5E8C37E4"/>
    <w:rsid w:val="5EB323A9"/>
    <w:rsid w:val="5F446E0B"/>
    <w:rsid w:val="5F8D040C"/>
    <w:rsid w:val="5FE1540B"/>
    <w:rsid w:val="5FFE05AE"/>
    <w:rsid w:val="603F14AA"/>
    <w:rsid w:val="60CD3BE1"/>
    <w:rsid w:val="60D1358F"/>
    <w:rsid w:val="6107158C"/>
    <w:rsid w:val="61522733"/>
    <w:rsid w:val="61FB7CEA"/>
    <w:rsid w:val="629C08F4"/>
    <w:rsid w:val="62C6379A"/>
    <w:rsid w:val="62F414D0"/>
    <w:rsid w:val="63AE19FC"/>
    <w:rsid w:val="63CE12ED"/>
    <w:rsid w:val="63DF5CE4"/>
    <w:rsid w:val="63E85E56"/>
    <w:rsid w:val="640E23AB"/>
    <w:rsid w:val="65B171F5"/>
    <w:rsid w:val="668E2961"/>
    <w:rsid w:val="674623E8"/>
    <w:rsid w:val="6747031A"/>
    <w:rsid w:val="675765F2"/>
    <w:rsid w:val="678B4824"/>
    <w:rsid w:val="68232CF4"/>
    <w:rsid w:val="684A6664"/>
    <w:rsid w:val="685D640C"/>
    <w:rsid w:val="69226F88"/>
    <w:rsid w:val="696F5752"/>
    <w:rsid w:val="69DA2BC2"/>
    <w:rsid w:val="6A896738"/>
    <w:rsid w:val="6A971CA2"/>
    <w:rsid w:val="6B0F76F1"/>
    <w:rsid w:val="6B1E108C"/>
    <w:rsid w:val="6B854ABD"/>
    <w:rsid w:val="6BFE2CB7"/>
    <w:rsid w:val="6CE84BEA"/>
    <w:rsid w:val="6CFD3517"/>
    <w:rsid w:val="6D046ABA"/>
    <w:rsid w:val="6D60789E"/>
    <w:rsid w:val="6DD0700B"/>
    <w:rsid w:val="6E2D65D4"/>
    <w:rsid w:val="6EC06AE3"/>
    <w:rsid w:val="6F0E3956"/>
    <w:rsid w:val="6F126C22"/>
    <w:rsid w:val="6F1A5AA7"/>
    <w:rsid w:val="6F3F0491"/>
    <w:rsid w:val="6FBA6E25"/>
    <w:rsid w:val="6FC3728C"/>
    <w:rsid w:val="6FEB7D0A"/>
    <w:rsid w:val="708019FD"/>
    <w:rsid w:val="70A307A5"/>
    <w:rsid w:val="70D10E1A"/>
    <w:rsid w:val="70DD493C"/>
    <w:rsid w:val="713D68BB"/>
    <w:rsid w:val="715068C6"/>
    <w:rsid w:val="71B857F5"/>
    <w:rsid w:val="71F37A13"/>
    <w:rsid w:val="726262B7"/>
    <w:rsid w:val="733A79B5"/>
    <w:rsid w:val="744E24BD"/>
    <w:rsid w:val="755F161D"/>
    <w:rsid w:val="75887F6E"/>
    <w:rsid w:val="75F730CF"/>
    <w:rsid w:val="76D23B14"/>
    <w:rsid w:val="77152265"/>
    <w:rsid w:val="771D2BC1"/>
    <w:rsid w:val="771D6F2D"/>
    <w:rsid w:val="778D7747"/>
    <w:rsid w:val="77DF20B0"/>
    <w:rsid w:val="781D5967"/>
    <w:rsid w:val="782B1DF4"/>
    <w:rsid w:val="78496546"/>
    <w:rsid w:val="789B1213"/>
    <w:rsid w:val="79DC0724"/>
    <w:rsid w:val="7AC056A3"/>
    <w:rsid w:val="7AC77C2C"/>
    <w:rsid w:val="7AFF3F00"/>
    <w:rsid w:val="7B0367A3"/>
    <w:rsid w:val="7BFB6F12"/>
    <w:rsid w:val="7C415704"/>
    <w:rsid w:val="7CD7486A"/>
    <w:rsid w:val="7D2F2D01"/>
    <w:rsid w:val="7D653C10"/>
    <w:rsid w:val="7D947889"/>
    <w:rsid w:val="7DA407B5"/>
    <w:rsid w:val="7E145254"/>
    <w:rsid w:val="7E1E20D7"/>
    <w:rsid w:val="7EAF0BBB"/>
    <w:rsid w:val="7EDC644C"/>
    <w:rsid w:val="7F323028"/>
    <w:rsid w:val="7FA46E96"/>
    <w:rsid w:val="7FB83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4"/>
      <w:szCs w:val="24"/>
      <w:lang w:val="en-US" w:eastAsia="zh-CN" w:bidi="ar-SA"/>
    </w:rPr>
  </w:style>
  <w:style w:type="paragraph" w:styleId="2">
    <w:name w:val="heading 1"/>
    <w:basedOn w:val="1"/>
    <w:next w:val="1"/>
    <w:link w:val="20"/>
    <w:qFormat/>
    <w:uiPriority w:val="0"/>
    <w:pPr>
      <w:spacing w:before="100" w:beforeAutospacing="1" w:after="100" w:afterAutospacing="1"/>
      <w:jc w:val="center"/>
      <w:outlineLvl w:val="0"/>
    </w:pPr>
    <w:rPr>
      <w:rFonts w:hint="eastAsia" w:cs="Times New Roman"/>
      <w:b/>
      <w:kern w:val="44"/>
      <w:sz w:val="36"/>
      <w:szCs w:val="44"/>
    </w:rPr>
  </w:style>
  <w:style w:type="paragraph" w:styleId="3">
    <w:name w:val="heading 2"/>
    <w:basedOn w:val="1"/>
    <w:next w:val="1"/>
    <w:link w:val="19"/>
    <w:semiHidden/>
    <w:unhideWhenUsed/>
    <w:qFormat/>
    <w:uiPriority w:val="0"/>
    <w:pPr>
      <w:spacing w:beforeAutospacing="1" w:afterAutospacing="1"/>
      <w:jc w:val="left"/>
      <w:outlineLvl w:val="1"/>
    </w:pPr>
    <w:rPr>
      <w:rFonts w:hint="eastAsia" w:cs="Times New Roman"/>
      <w:b/>
      <w:bCs/>
      <w:color w:val="000000"/>
      <w:kern w:val="0"/>
      <w:sz w:val="36"/>
      <w:szCs w:val="36"/>
    </w:rPr>
  </w:style>
  <w:style w:type="paragraph" w:styleId="4">
    <w:name w:val="heading 3"/>
    <w:basedOn w:val="1"/>
    <w:next w:val="1"/>
    <w:link w:val="21"/>
    <w:semiHidden/>
    <w:unhideWhenUsed/>
    <w:qFormat/>
    <w:uiPriority w:val="0"/>
    <w:pPr>
      <w:spacing w:beforeAutospacing="1" w:afterAutospacing="1"/>
      <w:jc w:val="left"/>
      <w:outlineLvl w:val="2"/>
    </w:pPr>
    <w:rPr>
      <w:rFonts w:hint="eastAsia" w:cs="Times New Roman"/>
      <w:b/>
      <w:bCs/>
      <w:kern w:val="0"/>
      <w:sz w:val="27"/>
      <w:szCs w:val="27"/>
    </w:rPr>
  </w:style>
  <w:style w:type="paragraph" w:styleId="5">
    <w:name w:val="heading 4"/>
    <w:basedOn w:val="1"/>
    <w:next w:val="1"/>
    <w:link w:val="25"/>
    <w:semiHidden/>
    <w:unhideWhenUsed/>
    <w:qFormat/>
    <w:uiPriority w:val="0"/>
    <w:pPr>
      <w:tabs>
        <w:tab w:val="left" w:pos="864"/>
      </w:tabs>
      <w:adjustRightInd w:val="0"/>
      <w:snapToGrid w:val="0"/>
      <w:jc w:val="left"/>
      <w:outlineLvl w:val="3"/>
    </w:pPr>
    <w:rPr>
      <w:b/>
      <w:bCs/>
      <w:color w:val="000000"/>
      <w:sz w:val="28"/>
      <w:szCs w:val="28"/>
    </w:rPr>
  </w:style>
  <w:style w:type="paragraph" w:styleId="6">
    <w:name w:val="heading 5"/>
    <w:basedOn w:val="1"/>
    <w:next w:val="1"/>
    <w:semiHidden/>
    <w:unhideWhenUsed/>
    <w:qFormat/>
    <w:uiPriority w:val="0"/>
    <w:pPr>
      <w:keepNext/>
      <w:keepLines/>
      <w:outlineLvl w:val="4"/>
    </w:pPr>
    <w:rPr>
      <w:b/>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spacing w:line="240" w:lineRule="auto"/>
    </w:pPr>
    <w:rPr>
      <w:sz w:val="21"/>
      <w:szCs w:val="21"/>
    </w:rPr>
  </w:style>
  <w:style w:type="paragraph" w:styleId="8">
    <w:name w:val="Body Text"/>
    <w:basedOn w:val="1"/>
    <w:next w:val="1"/>
    <w:link w:val="26"/>
    <w:qFormat/>
    <w:uiPriority w:val="0"/>
    <w:rPr>
      <w:rFonts w:hint="eastAsia"/>
    </w:rPr>
  </w:style>
  <w:style w:type="paragraph" w:styleId="9">
    <w:name w:val="Body Text Indent"/>
    <w:basedOn w:val="1"/>
    <w:link w:val="28"/>
    <w:qFormat/>
    <w:uiPriority w:val="0"/>
    <w:pPr>
      <w:ind w:left="960"/>
    </w:pPr>
    <w:rPr>
      <w:kern w:val="0"/>
    </w:rPr>
  </w:style>
  <w:style w:type="paragraph" w:styleId="10">
    <w:name w:val="footer"/>
    <w:basedOn w:val="1"/>
    <w:qFormat/>
    <w:uiPriority w:val="0"/>
    <w:pPr>
      <w:tabs>
        <w:tab w:val="center" w:pos="4153"/>
        <w:tab w:val="right" w:pos="8306"/>
      </w:tabs>
      <w:snapToGrid w:val="0"/>
      <w:jc w:val="left"/>
    </w:pPr>
    <w:rPr>
      <w:sz w:val="18"/>
    </w:rPr>
  </w:style>
  <w:style w:type="paragraph" w:styleId="11">
    <w:name w:val="toc 1"/>
    <w:basedOn w:val="1"/>
    <w:next w:val="1"/>
    <w:qFormat/>
    <w:uiPriority w:val="0"/>
  </w:style>
  <w:style w:type="paragraph" w:styleId="12">
    <w:name w:val="Normal (Web)"/>
    <w:basedOn w:val="1"/>
    <w:qFormat/>
    <w:uiPriority w:val="0"/>
  </w:style>
  <w:style w:type="paragraph" w:styleId="13">
    <w:name w:val="Body Text First Indent"/>
    <w:basedOn w:val="8"/>
    <w:next w:val="1"/>
    <w:qFormat/>
    <w:uiPriority w:val="0"/>
    <w:pPr>
      <w:adjustRightInd w:val="0"/>
      <w:snapToGrid w:val="0"/>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标题 2 Char"/>
    <w:link w:val="3"/>
    <w:qFormat/>
    <w:uiPriority w:val="0"/>
    <w:rPr>
      <w:rFonts w:ascii="宋体" w:hAnsi="宋体" w:eastAsia="宋体" w:cs="宋体"/>
      <w:b/>
      <w:bCs/>
      <w:color w:val="000000"/>
      <w:kern w:val="0"/>
      <w:sz w:val="32"/>
      <w:szCs w:val="32"/>
      <w:lang w:val="en-US" w:eastAsia="zh-CN" w:bidi="ar"/>
    </w:rPr>
  </w:style>
  <w:style w:type="character" w:customStyle="1" w:styleId="20">
    <w:name w:val="标题 1 Char"/>
    <w:link w:val="2"/>
    <w:qFormat/>
    <w:uiPriority w:val="9"/>
    <w:rPr>
      <w:rFonts w:ascii="宋体" w:hAnsi="宋体" w:eastAsia="宋体" w:cs="宋体"/>
      <w:b/>
      <w:bCs/>
      <w:kern w:val="44"/>
      <w:sz w:val="36"/>
      <w:szCs w:val="36"/>
      <w:lang w:val="en-US" w:eastAsia="zh-CN" w:bidi="ar-SA"/>
    </w:rPr>
  </w:style>
  <w:style w:type="character" w:customStyle="1" w:styleId="21">
    <w:name w:val="标题 3 Char"/>
    <w:link w:val="4"/>
    <w:autoRedefine/>
    <w:qFormat/>
    <w:uiPriority w:val="0"/>
    <w:rPr>
      <w:rFonts w:hint="default" w:ascii="宋体" w:hAnsi="宋体" w:eastAsia="宋体" w:cs="宋体"/>
      <w:b/>
      <w:bCs/>
      <w:kern w:val="0"/>
      <w:sz w:val="30"/>
      <w:szCs w:val="30"/>
      <w:lang w:val="en-US" w:eastAsia="zh-CN" w:bidi="ar"/>
    </w:rPr>
  </w:style>
  <w:style w:type="paragraph" w:customStyle="1" w:styleId="22">
    <w:name w:val="表格文字"/>
    <w:basedOn w:val="1"/>
    <w:qFormat/>
    <w:uiPriority w:val="0"/>
    <w:pPr>
      <w:spacing w:line="240" w:lineRule="auto"/>
      <w:jc w:val="center"/>
    </w:pPr>
    <w:rPr>
      <w:rFonts w:hint="eastAsia"/>
      <w:snapToGrid w:val="0"/>
      <w:kern w:val="0"/>
      <w:sz w:val="21"/>
      <w:szCs w:val="21"/>
    </w:rPr>
  </w:style>
  <w:style w:type="paragraph" w:customStyle="1" w:styleId="23">
    <w:name w:val="普通(网站)1"/>
    <w:basedOn w:val="1"/>
    <w:qFormat/>
    <w:uiPriority w:val="0"/>
    <w:pPr>
      <w:widowControl/>
      <w:autoSpaceDE w:val="0"/>
      <w:autoSpaceDN w:val="0"/>
      <w:spacing w:line="240" w:lineRule="auto"/>
      <w:jc w:val="center"/>
    </w:pPr>
    <w:rPr>
      <w:sz w:val="18"/>
      <w:szCs w:val="15"/>
    </w:rPr>
  </w:style>
  <w:style w:type="paragraph" w:customStyle="1" w:styleId="24">
    <w:name w:val="样式 样式 样式 样式 首行缩进:  2 字符1 + 首行缩进:  2 字符 + 首行缩进:  2 字符 + (中文) 宋体 ..."/>
    <w:basedOn w:val="1"/>
    <w:semiHidden/>
    <w:qFormat/>
    <w:uiPriority w:val="0"/>
    <w:pPr>
      <w:tabs>
        <w:tab w:val="left" w:pos="0"/>
      </w:tabs>
      <w:spacing w:line="720" w:lineRule="auto"/>
    </w:pPr>
    <w:rPr>
      <w:rFonts w:ascii="Times New Roman" w:hAnsi="Times New Roman" w:cs="Times New Roman"/>
      <w:sz w:val="28"/>
      <w:szCs w:val="20"/>
    </w:rPr>
  </w:style>
  <w:style w:type="character" w:customStyle="1" w:styleId="25">
    <w:name w:val="标题 4 Char"/>
    <w:link w:val="5"/>
    <w:qFormat/>
    <w:uiPriority w:val="0"/>
    <w:rPr>
      <w:rFonts w:ascii="宋体" w:hAnsi="宋体" w:eastAsia="宋体" w:cs="宋体"/>
      <w:b/>
      <w:bCs/>
      <w:snapToGrid/>
      <w:color w:val="000000"/>
      <w:sz w:val="28"/>
      <w:szCs w:val="28"/>
    </w:rPr>
  </w:style>
  <w:style w:type="character" w:customStyle="1" w:styleId="26">
    <w:name w:val="正文文本 Char"/>
    <w:basedOn w:val="16"/>
    <w:link w:val="8"/>
    <w:unhideWhenUsed/>
    <w:qFormat/>
    <w:locked/>
    <w:uiPriority w:val="99"/>
    <w:rPr>
      <w:rFonts w:hint="eastAsia" w:ascii="宋体" w:hAnsi="宋体" w:eastAsia="宋体" w:cs="宋体"/>
      <w:sz w:val="24"/>
      <w:szCs w:val="24"/>
    </w:rPr>
  </w:style>
  <w:style w:type="paragraph" w:customStyle="1" w:styleId="27">
    <w:name w:val="正文1"/>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character" w:customStyle="1" w:styleId="28">
    <w:name w:val="正文文本缩进 Char"/>
    <w:link w:val="9"/>
    <w:autoRedefine/>
    <w:qFormat/>
    <w:uiPriority w:val="99"/>
    <w:rPr>
      <w:rFonts w:ascii="宋体" w:hAnsi="宋体" w:eastAsia="宋体" w:cs="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10315</Words>
  <Characters>10743</Characters>
  <Lines>769</Lines>
  <Paragraphs>707</Paragraphs>
  <TotalTime>3</TotalTime>
  <ScaleCrop>false</ScaleCrop>
  <LinksUpToDate>false</LinksUpToDate>
  <CharactersWithSpaces>10828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2026-06-08T06:51:00Z</dcterms:created>
  <dc:creator>WPS_1559738400</dc:creator>
  <cp:lastModifiedBy>SMN</cp:lastModifiedBy>
  <dcterms:modified xsi:type="dcterms:W3CDTF">2026-07-31T02:37:16Z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91083CF6231C4CE1B6662528DCF1DF63_13</vt:lpwstr>
  </property>
  <property fmtid="{D5CDD505-2E9C-101B-9397-08002B2CF9AE}" pid="4" name="KSOTemplateDocerSaveRecord">
    <vt:lpwstr>eyJoZGlkIjoiNWI5MzFlZGQ1MWM5ZjJlZGU1ZDlkNWI3M2NjN2I4NDUiLCJ1c2VySWQiOiIzNDQ0ODA3MjQifQ==</vt:lpwstr>
  </property>
</Properties>
</file>