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BFE1CB">
      <w:pPr>
        <w:spacing w:line="440" w:lineRule="exact"/>
        <w:jc w:val="center"/>
        <w:rPr>
          <w:rFonts w:hint="eastAsia" w:ascii="仿宋_GB2312" w:eastAsia="仿宋_GB2312"/>
          <w:b/>
          <w:sz w:val="30"/>
          <w:szCs w:val="30"/>
        </w:rPr>
      </w:pPr>
      <w:r>
        <w:rPr>
          <w:rFonts w:hint="eastAsia" w:ascii="仿宋_GB2312" w:eastAsia="仿宋_GB2312"/>
          <w:b/>
          <w:sz w:val="30"/>
          <w:szCs w:val="30"/>
        </w:rPr>
        <w:t>南方医科大学深圳口腔医院（坪山）</w:t>
      </w:r>
    </w:p>
    <w:p w14:paraId="53AACD2F">
      <w:pPr>
        <w:spacing w:line="440" w:lineRule="exact"/>
        <w:jc w:val="center"/>
        <w:rPr>
          <w:rFonts w:hint="eastAsia" w:ascii="仿宋_GB2312" w:eastAsia="仿宋_GB2312"/>
          <w:b/>
          <w:sz w:val="30"/>
          <w:szCs w:val="30"/>
        </w:rPr>
      </w:pPr>
      <w:r>
        <w:rPr>
          <w:rFonts w:hint="eastAsia" w:ascii="仿宋_GB2312" w:eastAsia="仿宋_GB2312"/>
          <w:b/>
          <w:sz w:val="30"/>
          <w:szCs w:val="30"/>
        </w:rPr>
        <w:t>职工餐厅食材采购服务项目市场调研需求</w:t>
      </w:r>
    </w:p>
    <w:p w14:paraId="22DE59A9">
      <w:pPr>
        <w:spacing w:line="440" w:lineRule="exact"/>
        <w:jc w:val="center"/>
      </w:pPr>
      <w:r>
        <w:rPr>
          <w:rFonts w:hint="eastAsia" w:ascii="仿宋_GB2312" w:eastAsia="仿宋_GB2312"/>
          <w:b/>
          <w:sz w:val="30"/>
          <w:szCs w:val="30"/>
        </w:rPr>
        <w:t>（项目编号：</w:t>
      </w:r>
      <w:r>
        <w:rPr>
          <w:rFonts w:ascii="仿宋_GB2312" w:eastAsia="仿宋_GB2312"/>
          <w:b/>
          <w:sz w:val="30"/>
          <w:szCs w:val="30"/>
        </w:rPr>
        <w:t>NFYKDSZKQ-ZW-HW-ZGCT-20260731001</w:t>
      </w:r>
      <w:r>
        <w:rPr>
          <w:rFonts w:hint="eastAsia" w:ascii="仿宋_GB2312" w:eastAsia="仿宋_GB2312"/>
          <w:b/>
          <w:sz w:val="30"/>
          <w:szCs w:val="30"/>
        </w:rPr>
        <w:t>）</w:t>
      </w:r>
    </w:p>
    <w:tbl>
      <w:tblPr>
        <w:tblStyle w:val="14"/>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454"/>
        <w:gridCol w:w="4666"/>
        <w:gridCol w:w="1707"/>
        <w:gridCol w:w="1761"/>
      </w:tblGrid>
      <w:tr w14:paraId="07AD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1454" w:type="dxa"/>
            <w:shd w:val="clear" w:color="auto" w:fill="auto"/>
            <w:tcMar>
              <w:top w:w="120" w:type="dxa"/>
              <w:left w:w="120" w:type="dxa"/>
              <w:bottom w:w="120" w:type="dxa"/>
              <w:right w:w="120" w:type="dxa"/>
            </w:tcMar>
            <w:vAlign w:val="center"/>
          </w:tcPr>
          <w:p w14:paraId="0A3326BB">
            <w:pPr>
              <w:widowControl/>
              <w:spacing w:line="240" w:lineRule="auto"/>
              <w:jc w:val="left"/>
              <w:rPr>
                <w:rFonts w:ascii="仿宋_GB2312" w:hAnsi="仿宋_GB2312" w:eastAsia="仿宋_GB2312" w:cs="仿宋_GB2312"/>
                <w:b/>
                <w:bCs/>
                <w:sz w:val="21"/>
                <w:szCs w:val="21"/>
              </w:rPr>
            </w:pPr>
            <w:r>
              <w:rPr>
                <w:rFonts w:hint="eastAsia" w:ascii="仿宋_GB2312" w:hAnsi="仿宋_GB2312" w:eastAsia="仿宋_GB2312" w:cs="仿宋_GB2312"/>
                <w:kern w:val="0"/>
                <w:sz w:val="21"/>
                <w:szCs w:val="21"/>
                <w:lang w:bidi="ar"/>
              </w:rPr>
              <w:t>项目名称</w:t>
            </w:r>
          </w:p>
        </w:tc>
        <w:tc>
          <w:tcPr>
            <w:tcW w:w="4666" w:type="dxa"/>
            <w:shd w:val="clear" w:color="auto" w:fill="auto"/>
            <w:tcMar>
              <w:top w:w="120" w:type="dxa"/>
              <w:left w:w="120" w:type="dxa"/>
              <w:bottom w:w="120" w:type="dxa"/>
              <w:right w:w="120" w:type="dxa"/>
            </w:tcMar>
            <w:vAlign w:val="center"/>
          </w:tcPr>
          <w:p w14:paraId="79598C8D">
            <w:pPr>
              <w:widowControl/>
              <w:spacing w:line="240" w:lineRule="auto"/>
              <w:jc w:val="left"/>
              <w:rPr>
                <w:rFonts w:ascii="仿宋_GB2312" w:hAnsi="仿宋_GB2312" w:eastAsia="仿宋_GB2312" w:cs="仿宋_GB2312"/>
                <w:b/>
                <w:bCs/>
                <w:sz w:val="21"/>
                <w:szCs w:val="21"/>
              </w:rPr>
            </w:pPr>
            <w:r>
              <w:rPr>
                <w:rFonts w:hint="eastAsia" w:ascii="仿宋_GB2312" w:hAnsi="仿宋_GB2312" w:eastAsia="仿宋_GB2312" w:cs="仿宋_GB2312"/>
                <w:b/>
                <w:bCs/>
                <w:kern w:val="0"/>
                <w:sz w:val="21"/>
                <w:szCs w:val="21"/>
                <w:lang w:bidi="ar"/>
              </w:rPr>
              <w:t>南方医科大学深圳口腔医院（坪山）职工餐厅食材采购服务项目</w:t>
            </w:r>
          </w:p>
        </w:tc>
        <w:tc>
          <w:tcPr>
            <w:tcW w:w="1707" w:type="dxa"/>
            <w:shd w:val="clear" w:color="auto" w:fill="auto"/>
            <w:tcMar>
              <w:top w:w="120" w:type="dxa"/>
              <w:left w:w="120" w:type="dxa"/>
              <w:bottom w:w="120" w:type="dxa"/>
              <w:right w:w="120" w:type="dxa"/>
            </w:tcMar>
            <w:vAlign w:val="center"/>
          </w:tcPr>
          <w:p w14:paraId="582F0656">
            <w:pPr>
              <w:widowControl/>
              <w:spacing w:line="240" w:lineRule="auto"/>
              <w:jc w:val="left"/>
              <w:rPr>
                <w:rFonts w:ascii="仿宋_GB2312" w:hAnsi="仿宋_GB2312" w:eastAsia="仿宋_GB2312" w:cs="仿宋_GB2312"/>
                <w:b/>
                <w:bCs/>
                <w:sz w:val="21"/>
                <w:szCs w:val="21"/>
              </w:rPr>
            </w:pPr>
            <w:r>
              <w:rPr>
                <w:rFonts w:hint="eastAsia" w:ascii="仿宋_GB2312" w:hAnsi="仿宋_GB2312" w:eastAsia="仿宋_GB2312" w:cs="仿宋_GB2312"/>
                <w:kern w:val="0"/>
                <w:sz w:val="21"/>
                <w:szCs w:val="21"/>
                <w:lang w:bidi="ar"/>
              </w:rPr>
              <w:t>是否预选项目</w:t>
            </w:r>
          </w:p>
        </w:tc>
        <w:tc>
          <w:tcPr>
            <w:tcW w:w="1761" w:type="dxa"/>
            <w:shd w:val="clear" w:color="auto" w:fill="auto"/>
            <w:tcMar>
              <w:top w:w="120" w:type="dxa"/>
              <w:left w:w="120" w:type="dxa"/>
              <w:bottom w:w="120" w:type="dxa"/>
              <w:right w:w="120" w:type="dxa"/>
            </w:tcMar>
            <w:vAlign w:val="center"/>
          </w:tcPr>
          <w:p w14:paraId="7CA0FD47">
            <w:pPr>
              <w:widowControl/>
              <w:spacing w:line="240" w:lineRule="auto"/>
              <w:jc w:val="left"/>
              <w:rPr>
                <w:rFonts w:ascii="仿宋_GB2312" w:hAnsi="仿宋_GB2312" w:eastAsia="仿宋_GB2312" w:cs="仿宋_GB2312"/>
                <w:b/>
                <w:bCs/>
                <w:sz w:val="21"/>
                <w:szCs w:val="21"/>
              </w:rPr>
            </w:pPr>
            <w:r>
              <w:rPr>
                <w:rFonts w:hint="eastAsia" w:ascii="仿宋_GB2312" w:hAnsi="仿宋_GB2312" w:eastAsia="仿宋_GB2312" w:cs="仿宋_GB2312"/>
                <w:b/>
                <w:bCs/>
                <w:kern w:val="0"/>
                <w:sz w:val="21"/>
                <w:szCs w:val="21"/>
                <w:lang w:bidi="ar"/>
              </w:rPr>
              <w:t>否</w:t>
            </w:r>
          </w:p>
        </w:tc>
      </w:tr>
      <w:tr w14:paraId="7A82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54" w:hRule="atLeast"/>
          <w:jc w:val="center"/>
        </w:trPr>
        <w:tc>
          <w:tcPr>
            <w:tcW w:w="1454" w:type="dxa"/>
            <w:shd w:val="clear" w:color="auto" w:fill="auto"/>
            <w:tcMar>
              <w:top w:w="120" w:type="dxa"/>
              <w:left w:w="120" w:type="dxa"/>
              <w:bottom w:w="120" w:type="dxa"/>
              <w:right w:w="120" w:type="dxa"/>
            </w:tcMar>
            <w:vAlign w:val="center"/>
          </w:tcPr>
          <w:p w14:paraId="7AA37656">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采购人名称</w:t>
            </w:r>
          </w:p>
        </w:tc>
        <w:tc>
          <w:tcPr>
            <w:tcW w:w="4666" w:type="dxa"/>
            <w:shd w:val="clear" w:color="auto" w:fill="auto"/>
            <w:tcMar>
              <w:top w:w="120" w:type="dxa"/>
              <w:left w:w="120" w:type="dxa"/>
              <w:bottom w:w="120" w:type="dxa"/>
              <w:right w:w="120" w:type="dxa"/>
            </w:tcMar>
            <w:vAlign w:val="center"/>
          </w:tcPr>
          <w:p w14:paraId="2E96BD2B">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南方医科大学深圳口腔医院（坪山）</w:t>
            </w:r>
          </w:p>
        </w:tc>
        <w:tc>
          <w:tcPr>
            <w:tcW w:w="1707" w:type="dxa"/>
            <w:shd w:val="clear" w:color="auto" w:fill="auto"/>
            <w:tcMar>
              <w:top w:w="120" w:type="dxa"/>
              <w:left w:w="120" w:type="dxa"/>
              <w:bottom w:w="120" w:type="dxa"/>
              <w:right w:w="120" w:type="dxa"/>
            </w:tcMar>
            <w:vAlign w:val="center"/>
          </w:tcPr>
          <w:p w14:paraId="6F6F140D">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采购方式</w:t>
            </w:r>
          </w:p>
        </w:tc>
        <w:tc>
          <w:tcPr>
            <w:tcW w:w="1761" w:type="dxa"/>
            <w:shd w:val="clear" w:color="auto" w:fill="auto"/>
            <w:tcMar>
              <w:top w:w="120" w:type="dxa"/>
              <w:left w:w="120" w:type="dxa"/>
              <w:bottom w:w="120" w:type="dxa"/>
              <w:right w:w="120" w:type="dxa"/>
            </w:tcMar>
            <w:vAlign w:val="center"/>
          </w:tcPr>
          <w:p w14:paraId="1D88348F">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公开招标</w:t>
            </w:r>
          </w:p>
        </w:tc>
      </w:tr>
      <w:tr w14:paraId="63CD5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97" w:hRule="atLeast"/>
          <w:jc w:val="center"/>
        </w:trPr>
        <w:tc>
          <w:tcPr>
            <w:tcW w:w="1454" w:type="dxa"/>
            <w:shd w:val="clear" w:color="auto" w:fill="auto"/>
            <w:tcMar>
              <w:top w:w="120" w:type="dxa"/>
              <w:left w:w="120" w:type="dxa"/>
              <w:bottom w:w="120" w:type="dxa"/>
              <w:right w:w="120" w:type="dxa"/>
            </w:tcMar>
            <w:vAlign w:val="center"/>
          </w:tcPr>
          <w:p w14:paraId="3E4E622E">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预算限额（元）</w:t>
            </w:r>
          </w:p>
        </w:tc>
        <w:tc>
          <w:tcPr>
            <w:tcW w:w="8134" w:type="dxa"/>
            <w:gridSpan w:val="3"/>
            <w:shd w:val="clear" w:color="auto" w:fill="auto"/>
            <w:tcMar>
              <w:top w:w="120" w:type="dxa"/>
              <w:left w:w="120" w:type="dxa"/>
              <w:bottom w:w="120" w:type="dxa"/>
              <w:right w:w="120" w:type="dxa"/>
            </w:tcMar>
            <w:vAlign w:val="center"/>
          </w:tcPr>
          <w:p w14:paraId="76448C67">
            <w:pPr>
              <w:spacing w:line="240" w:lineRule="auto"/>
              <w:ind w:firstLine="2520" w:firstLineChars="120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根据市场调研后确定</w:t>
            </w:r>
          </w:p>
        </w:tc>
      </w:tr>
      <w:tr w14:paraId="06E8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05" w:hRule="atLeast"/>
          <w:jc w:val="center"/>
        </w:trPr>
        <w:tc>
          <w:tcPr>
            <w:tcW w:w="1454" w:type="dxa"/>
            <w:shd w:val="clear" w:color="auto" w:fill="auto"/>
            <w:tcMar>
              <w:top w:w="120" w:type="dxa"/>
              <w:left w:w="120" w:type="dxa"/>
              <w:bottom w:w="120" w:type="dxa"/>
              <w:right w:w="120" w:type="dxa"/>
            </w:tcMar>
            <w:vAlign w:val="center"/>
          </w:tcPr>
          <w:p w14:paraId="1EF96F9E">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项目背景</w:t>
            </w:r>
          </w:p>
        </w:tc>
        <w:tc>
          <w:tcPr>
            <w:tcW w:w="8134" w:type="dxa"/>
            <w:gridSpan w:val="3"/>
            <w:shd w:val="clear" w:color="auto" w:fill="auto"/>
            <w:tcMar>
              <w:top w:w="120" w:type="dxa"/>
              <w:left w:w="120" w:type="dxa"/>
              <w:bottom w:w="120" w:type="dxa"/>
              <w:right w:w="120" w:type="dxa"/>
            </w:tcMar>
            <w:vAlign w:val="center"/>
          </w:tcPr>
          <w:p w14:paraId="4510478C">
            <w:pPr>
              <w:spacing w:line="240" w:lineRule="auto"/>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为进一步规范我院职工餐厅食材采购管理，保障食品安全，提升餐饮服务质量，降低采购成本，现拟对职工餐厅食材采购服务项目开展市场调研。本次调研旨在全面了解市场供应主体的资质能力、产品质量标准、配送服务水平、价格体系及食品安全管控能力，为后续科学制定采购方案、合理编制采购预算提供参考依据。</w:t>
            </w:r>
          </w:p>
          <w:p w14:paraId="0E5A2C69">
            <w:pPr>
              <w:spacing w:line="240" w:lineRule="auto"/>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我院位于深圳市坪山区东纵路143号，是一所集医疗、教学、科研于一体的三级口腔专科医院，现有职工约300人，职工餐厅每日为全院职工提供餐饮服务，需全年365天不间断保障食材供应。本次调研面向全社会公开进行，诚邀具备相应资质与供应能力的供应商积极参与。</w:t>
            </w:r>
          </w:p>
          <w:p w14:paraId="055F6E38">
            <w:pPr>
              <w:spacing w:line="240" w:lineRule="auto"/>
              <w:ind w:firstLine="420" w:firstLineChars="200"/>
              <w:rPr>
                <w:rFonts w:ascii="仿宋_GB2312" w:hAnsi="仿宋_GB2312" w:eastAsia="仿宋_GB2312" w:cs="仿宋_GB2312"/>
                <w:sz w:val="21"/>
                <w:szCs w:val="21"/>
              </w:rPr>
            </w:pPr>
            <w:r>
              <w:rPr>
                <w:rFonts w:hint="eastAsia" w:ascii="仿宋_GB2312" w:hAnsi="仿宋_GB2312" w:eastAsia="仿宋_GB2312" w:cs="仿宋_GB2312"/>
                <w:sz w:val="21"/>
                <w:szCs w:val="21"/>
              </w:rPr>
              <w:t>为保障医院职工用餐需求，向有资质的机构采购生鲜肉、水产类、蔬类、粮油类、冻品类、干货类（食材配料）、水果乳制品、蛋类、粉面类等食材的配送。</w:t>
            </w:r>
          </w:p>
        </w:tc>
      </w:tr>
      <w:tr w14:paraId="40F7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1454" w:type="dxa"/>
            <w:shd w:val="clear" w:color="auto" w:fill="auto"/>
            <w:tcMar>
              <w:top w:w="120" w:type="dxa"/>
              <w:left w:w="120" w:type="dxa"/>
              <w:bottom w:w="120" w:type="dxa"/>
              <w:right w:w="120" w:type="dxa"/>
            </w:tcMar>
            <w:vAlign w:val="center"/>
          </w:tcPr>
          <w:p w14:paraId="667E1457">
            <w:pPr>
              <w:widowControl/>
              <w:spacing w:line="240" w:lineRule="auto"/>
              <w:jc w:val="left"/>
              <w:rPr>
                <w:rFonts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资质要求</w:t>
            </w:r>
          </w:p>
        </w:tc>
        <w:tc>
          <w:tcPr>
            <w:tcW w:w="8134" w:type="dxa"/>
            <w:gridSpan w:val="3"/>
            <w:shd w:val="clear" w:color="auto" w:fill="auto"/>
            <w:tcMar>
              <w:top w:w="120" w:type="dxa"/>
              <w:left w:w="120" w:type="dxa"/>
              <w:bottom w:w="120" w:type="dxa"/>
              <w:right w:w="120" w:type="dxa"/>
            </w:tcMar>
            <w:vAlign w:val="center"/>
          </w:tcPr>
          <w:p w14:paraId="047ABDE1">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1.参与市场调研的单位须是在中华人民共和国境内注册，具有独立法人资格或是具有独立承担民事责任的能力的其它组织（提供营业执照扫描件或事业单位法人证等法人证明扫描件，原件备查）；总公司或者分公司只允许一家参与市场调研的单位，不允许同时参与本项目参与市场调研的单位，以分公司名义参与参与市场调研的单位的，须提供总公司或具有独立法人的上一级公司出具的愿为其参与本项目参与市场调研的单位的行为以及履约等行为承担民事责任的加盖总公司公章的授权函，以及提供总、分公司的营业执照扫描件，原件备查。</w:t>
            </w:r>
          </w:p>
          <w:p w14:paraId="1D33BEA3">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2.本项目不接受联合体参与市场调研的单位。</w:t>
            </w:r>
          </w:p>
          <w:p w14:paraId="13779003">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3.参与本项目参与市场调研的单位前三年内，在经营活动中没有重大违法记录（由供应商在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01B26008">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4.参与本项目政府采购活动时不存在被有关部门禁止参与政府采购活动且在有效期内的情况（由供应商在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7F889944">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5.具备《中华人民共和国政府采购法》第二十二条第一款的条件（由供应商在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45FAC86D">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6.未被列入失信被执行人、重大税收违法案件当事人名单、政府采购严重违法失信行为记录名单（由供应商在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5979327A">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7.参与市场调研的单位为本项目提供整体设计、规范编制或者管理、监理、检测等服务的，不得再参与此次采购项目的参与市场调研的单位（由供应商在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370320AB">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8.依据《中华人民共和国政府采购法实施条例》第十八条规定，单位负责人为同一人或者存在直接控股、管理关系的不同供应商，不得参加同一合同项下的政府采购活动（由供应商在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中作出声明</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42EACF3F">
            <w:pPr>
              <w:widowControl/>
              <w:shd w:val="clear" w:color="auto" w:fill="FFFFFF"/>
              <w:spacing w:line="240" w:lineRule="auto"/>
              <w:ind w:firstLine="480"/>
              <w:jc w:val="left"/>
              <w:rPr>
                <w:rFonts w:ascii="仿宋_GB2312" w:hAnsi="仿宋_GB2312" w:eastAsia="仿宋_GB2312" w:cs="仿宋_GB2312"/>
                <w:color w:val="4E4E4E"/>
                <w:sz w:val="21"/>
                <w:szCs w:val="21"/>
              </w:rPr>
            </w:pPr>
            <w:r>
              <w:rPr>
                <w:rFonts w:hint="eastAsia" w:ascii="仿宋_GB2312" w:hAnsi="仿宋_GB2312" w:eastAsia="仿宋_GB2312" w:cs="仿宋_GB2312"/>
                <w:color w:val="4E4E4E"/>
                <w:kern w:val="0"/>
                <w:sz w:val="21"/>
                <w:szCs w:val="21"/>
                <w:shd w:val="clear" w:color="auto" w:fill="FFFFFF"/>
                <w:lang w:bidi="ar"/>
              </w:rPr>
              <w:t>9.不存在《深圳市财政局政府采购供应商信用信息管理办法》（深财规〔2023〕3 号）列明的严重违法失信行为（由供应商在</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政府采购投标及履约承诺函》</w:t>
            </w:r>
            <w:r>
              <w:rPr>
                <w:rFonts w:hint="eastAsia" w:ascii="仿宋_GB2312" w:hAnsi="仿宋_GB2312" w:eastAsia="仿宋_GB2312" w:cs="仿宋_GB2312"/>
                <w:color w:val="4E4E4E"/>
                <w:kern w:val="0"/>
                <w:sz w:val="21"/>
                <w:szCs w:val="21"/>
                <w:shd w:val="clear" w:color="auto" w:fill="FFFFFF"/>
                <w:lang w:bidi="ar"/>
              </w:rPr>
              <w:t>中作出承诺</w:t>
            </w:r>
            <w:r>
              <w:rPr>
                <w:rFonts w:hint="eastAsia" w:ascii="仿宋_GB2312" w:hAnsi="仿宋_GB2312" w:eastAsia="仿宋_GB2312" w:cs="仿宋_GB2312"/>
                <w:color w:val="4E4E4E"/>
                <w:kern w:val="0"/>
                <w:sz w:val="21"/>
                <w:szCs w:val="21"/>
                <w:shd w:val="clear" w:color="auto" w:fill="FFFFFF"/>
                <w:lang w:eastAsia="zh-CN" w:bidi="ar"/>
              </w:rPr>
              <w:t>，</w:t>
            </w:r>
            <w:r>
              <w:rPr>
                <w:rFonts w:hint="eastAsia" w:ascii="仿宋_GB2312" w:hAnsi="仿宋_GB2312" w:eastAsia="仿宋_GB2312" w:cs="仿宋_GB2312"/>
                <w:color w:val="4E4E4E"/>
                <w:kern w:val="0"/>
                <w:sz w:val="21"/>
                <w:szCs w:val="21"/>
                <w:shd w:val="clear" w:color="auto" w:fill="FFFFFF"/>
                <w:lang w:val="en-US" w:eastAsia="zh-CN" w:bidi="ar"/>
              </w:rPr>
              <w:t>格式自拟</w:t>
            </w:r>
            <w:r>
              <w:rPr>
                <w:rFonts w:hint="eastAsia" w:ascii="仿宋_GB2312" w:hAnsi="仿宋_GB2312" w:eastAsia="仿宋_GB2312" w:cs="仿宋_GB2312"/>
                <w:color w:val="4E4E4E"/>
                <w:kern w:val="0"/>
                <w:sz w:val="21"/>
                <w:szCs w:val="21"/>
                <w:shd w:val="clear" w:color="auto" w:fill="FFFFFF"/>
                <w:lang w:bidi="ar"/>
              </w:rPr>
              <w:t>）。</w:t>
            </w:r>
          </w:p>
          <w:p w14:paraId="4F655970">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10.参与市场调研的单位必须具有在效期内的《食品经营许可证》（提供证书扫描件）和对应品类的生产许可证，证照齐全且在有效期内。</w:t>
            </w:r>
          </w:p>
          <w:p w14:paraId="3A5A5F8B">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11.参与市场调研的单位的食品必须符合国家有关部门规定的食品安全标准，如果参与市场调研的单位所供货的食品造成采购人就餐人员食物中毒的，经卫生防疫部门鉴定，属参与市场调研的单位责任，参与市场调研的单位必须承担全部法律责任并作出全部的经济赔偿，</w:t>
            </w:r>
            <w:r>
              <w:rPr>
                <w:rFonts w:hint="eastAsia" w:ascii="仿宋_GB2312" w:hAnsi="仿宋_GB2312" w:eastAsia="仿宋_GB2312" w:cs="仿宋_GB2312"/>
                <w:color w:val="4E4E4E"/>
                <w:kern w:val="0"/>
                <w:sz w:val="21"/>
                <w:szCs w:val="21"/>
                <w:shd w:val="clear" w:color="auto" w:fill="FFFFFF"/>
                <w:lang w:val="zh-CN" w:bidi="ar"/>
              </w:rPr>
              <w:t>采购人有权单方面取消合同，不承担任何法律责任。</w:t>
            </w:r>
            <w:r>
              <w:rPr>
                <w:rFonts w:hint="eastAsia" w:ascii="仿宋_GB2312" w:hAnsi="仿宋_GB2312" w:eastAsia="仿宋_GB2312" w:cs="仿宋_GB2312"/>
                <w:color w:val="4E4E4E"/>
                <w:kern w:val="0"/>
                <w:sz w:val="21"/>
                <w:szCs w:val="21"/>
                <w:shd w:val="clear" w:color="auto" w:fill="FFFFFF"/>
                <w:lang w:bidi="ar"/>
              </w:rPr>
              <w:t>合同终止后，</w:t>
            </w:r>
            <w:r>
              <w:rPr>
                <w:rFonts w:hint="eastAsia" w:ascii="仿宋_GB2312" w:hAnsi="仿宋_GB2312" w:eastAsia="仿宋_GB2312" w:cs="仿宋_GB2312"/>
                <w:color w:val="4E4E4E"/>
                <w:kern w:val="0"/>
                <w:sz w:val="21"/>
                <w:szCs w:val="21"/>
                <w:shd w:val="clear" w:color="auto" w:fill="FFFFFF"/>
                <w:lang w:val="zh-CN" w:bidi="ar"/>
              </w:rPr>
              <w:t>由</w:t>
            </w:r>
            <w:r>
              <w:rPr>
                <w:rFonts w:hint="eastAsia" w:ascii="仿宋_GB2312" w:hAnsi="仿宋_GB2312" w:eastAsia="仿宋_GB2312" w:cs="仿宋_GB2312"/>
                <w:color w:val="4E4E4E"/>
                <w:kern w:val="0"/>
                <w:sz w:val="21"/>
                <w:szCs w:val="21"/>
                <w:shd w:val="clear" w:color="auto" w:fill="FFFFFF"/>
                <w:lang w:bidi="ar"/>
              </w:rPr>
              <w:t>备选中标人</w:t>
            </w:r>
            <w:r>
              <w:rPr>
                <w:rFonts w:hint="eastAsia" w:ascii="仿宋_GB2312" w:hAnsi="仿宋_GB2312" w:eastAsia="仿宋_GB2312" w:cs="仿宋_GB2312"/>
                <w:color w:val="4E4E4E"/>
                <w:kern w:val="0"/>
                <w:sz w:val="21"/>
                <w:szCs w:val="21"/>
                <w:shd w:val="clear" w:color="auto" w:fill="FFFFFF"/>
                <w:lang w:val="zh-CN" w:bidi="ar"/>
              </w:rPr>
              <w:t>接替供货。</w:t>
            </w:r>
          </w:p>
          <w:p w14:paraId="2F018318">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12.要求在卫生监督部门无食品卫生事故记录，一经查实，取消中标资格。</w:t>
            </w:r>
          </w:p>
          <w:p w14:paraId="359CA6A0">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13.此招标项目中标后不得转包或分包，一经发现，取消中标资格。</w:t>
            </w:r>
          </w:p>
          <w:p w14:paraId="072C377C">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14.要求所送蔬菜类、鲜肉类等必须保鲜运送。</w:t>
            </w:r>
          </w:p>
          <w:p w14:paraId="36086E27">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15.具备稳定的供货渠道、标准化的仓储场地及冷链配送能力，能够满足每日定时配送及应急加急配送需求；</w:t>
            </w:r>
          </w:p>
          <w:p w14:paraId="1B80ADE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16.配送人员须持有有效健康证明，配送车辆符合食品安全运输要求，冷藏冷冻食品须使用专用冷藏车辆运输。</w:t>
            </w:r>
          </w:p>
          <w:p w14:paraId="249EF873">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17.对平台型供应商的特别要求：</w:t>
            </w:r>
          </w:p>
          <w:p w14:paraId="5342877D">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（1）若为集采集配平台或其授权服务商，须提供平台运营资质证明及与上游供应商的合作协议或授权文件；</w:t>
            </w:r>
          </w:p>
          <w:p w14:paraId="01484753">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（2）须能提供一站式全品类采购服务，涵盖本需求书所列全部品类，采购人无需对接多个供应商即可完成日常下单与结算；</w:t>
            </w:r>
          </w:p>
          <w:p w14:paraId="56668F26">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（3）平台应具备在线下单、订单追踪、电子对账、售后客服等完整的数字化服务功能；</w:t>
            </w:r>
          </w:p>
          <w:p w14:paraId="79FCBA42">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（4）平台须具备完善的食品安全管控体系，能提供各品类食材来源可追溯的相关凭证及检测报告。</w:t>
            </w:r>
          </w:p>
          <w:p w14:paraId="77BF041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18.信用证明：“信用中国”及“中国政府采购网”无失信记录查询截图。</w:t>
            </w:r>
          </w:p>
          <w:p w14:paraId="5579526D">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19.本项目是否专门面向中小企业采购：否。</w:t>
            </w:r>
          </w:p>
        </w:tc>
      </w:tr>
      <w:tr w14:paraId="4E17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4CF430E">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质量要求</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C1E377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为保证采购人吃得安全，吃得放心，对厨房所采购的一切主副食品，制定以下标准：</w:t>
            </w:r>
          </w:p>
          <w:p w14:paraId="74D4EB07">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配送时效：供应商须根据采购人前一日订单，在规定时间内按时、按量、按标准、按质量将食材配送至我院指定地点验收。常规配送时间为每日早晨规定时间前送达。鲜湿粉面等特殊品类需在凌晨完成配送，确保早餐供应。配送频次为全年365天不间断，法定节假日亦需正常供货。中标人如送货迟到一次采购人应提出口头警告，并要求中标人作出书面保证；两次迟到或者一次迟到20分钟以上的扣罚当天总货款的30%；三次迟到或者两次迟到45分钟以上，采购人可解除其供货合同。</w:t>
            </w:r>
          </w:p>
          <w:p w14:paraId="2EFA4D5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（2）应急响应：出现临时加急配送需求时，供应商须在2小时内响应并完成补送或更换。发现食材质量不合格时，须无条件退货并及时更换，更换商品须在规定时间内送达。</w:t>
            </w:r>
          </w:p>
          <w:p w14:paraId="3E3AD93C">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（4）大米：须当年出产，正规厂家出品并在保质期内，提供符合国家级质量认证和商标及地址、电话。</w:t>
            </w:r>
          </w:p>
          <w:p w14:paraId="6C7D658A">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（5）禽类：禽类来源于大型家禽供应场，并提供当天当批禽类《出县境动物检疫合格证明》，必须是送货前12小时内屠宰好的新鲜鸡、鸭、鹅等禽类。</w:t>
            </w:r>
          </w:p>
          <w:p w14:paraId="2080A83B">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（6）蛋类：蛋类由正规大型厂家出品，新鲜无污染。并提供贴有卫生许可验证和商标及地址、电话、在保质期内的产品。</w:t>
            </w:r>
          </w:p>
          <w:p w14:paraId="356E95A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（7）河粉、豆制品类：来源于正规食品公司出品的货物。</w:t>
            </w:r>
          </w:p>
          <w:p w14:paraId="4A0D5F2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（8）调料、米面、干货类：由正规厂家生产，杜绝假冒伪劣商品，所提供的货物必须是正规厂家生产的、信得过产品。并提供贴有卫生许可验收和商标及地址、电话、保质期内食用产品。</w:t>
            </w:r>
          </w:p>
          <w:p w14:paraId="663F489D">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（9）油类：来源于正规大型油脂公司，并提供贴有卫生许可验证和商标及地址、电话、保质期内食用产品。</w:t>
            </w:r>
          </w:p>
          <w:p w14:paraId="42278192">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（10）蔬菜瓜果类：保持良好的色泽和新鲜度，经过初步整理，除去泥、沙、黄叶、烂叶及老叶后的合格率为85%。</w:t>
            </w:r>
          </w:p>
          <w:p w14:paraId="55907C7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（11）鲜肉类：保证来源于正规肉联厂供的鲜肉，保证送货前12小时内的新鲜肉，并提供当天的《深圳市肉类屠宰出厂单》和《动物产品检验合格证明》及《无公害肉类监测记录表》原始单据或单据复印件。</w:t>
            </w:r>
          </w:p>
          <w:p w14:paraId="168747D7">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（12）冻品类：正规厂家生产，保持较好外观，表面无污渍血丝、无残毛、残骨、无异味、肉质品相较好，须在保质期内。</w:t>
            </w:r>
          </w:p>
          <w:p w14:paraId="381FF39C">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二、食品安全管理：</w:t>
            </w:r>
          </w:p>
          <w:p w14:paraId="0BA732A1">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1.供应商须建立完善的食材溯源体系，能够提供食材来源供应商资质、生产日期、保质期、采购凭证、仓储温湿度记录、安全质量检测报告等完整的追溯信息；</w:t>
            </w:r>
          </w:p>
          <w:p w14:paraId="65D94310">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2.每批次食材须提供相应的检疫合格证明、农残检测报告、肉品品质检验合格证等；</w:t>
            </w:r>
          </w:p>
          <w:p w14:paraId="18E12F62">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3.冷链配送须全程温控，冻品中心温度≤-18℃，鲜肉、蔬果配送温度保持0-4℃；</w:t>
            </w:r>
          </w:p>
          <w:p w14:paraId="446887BC">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4.不得使用转基因产品，预包装食品须符合GB 7718标签通则要求，保质期不少于总保质期的三分之二。</w:t>
            </w:r>
          </w:p>
          <w:p w14:paraId="56519BA6">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三、验收及搬运：</w:t>
            </w:r>
          </w:p>
          <w:p w14:paraId="6C6916DC">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供应商须安排配送人员配合货物搬运至指定仓储区域，配合采购人进行验收。中标人和采购人要做好每日食堂主副食品种、数量等采购需求的对接工作，明确需求品种、数量以及具体的要求；双方同时制定主副食收货和验收制度、具体工作流程。中标人应严格按照各品格的具体供货标准和收货验收制度等做好采购配送工作，确保所配送的货物符合要求。双方在收货验收过程中，发现所送货物不符合要求，收货验收工作人员要现场拍照留存作为证据，并对相关货物进行封存留验形成书面材料，不符合质量要求的产品无条件退货，供应商承担相应责任及损失。对中标人所送货物不符合要求的，采购人有权拒收，累计拒收达一次的，由采购人向中标人提出口头批评；累计拒收达两次的，采购人向中标人提出警告，且中标人须向采购人作出书面保证；累计拒收达三次及以上的，采购人可直接解除其供货合同，并扣罚当天总货款的30%。中标人交售的鲜活产品如有污染或疾病的，采购人有权拒收，并可按国家规定的相关法律法规处理。</w:t>
            </w:r>
          </w:p>
          <w:p w14:paraId="2971E1C2">
            <w:pPr>
              <w:widowControl/>
              <w:numPr>
                <w:ilvl w:val="0"/>
                <w:numId w:val="1"/>
              </w:numPr>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价格管理：</w:t>
            </w:r>
          </w:p>
          <w:p w14:paraId="6BAB63FA">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供应商需提供具有市场竞争力的报价方案，合同期内价格浮动率原则上保持不变，或建立明确的调价机制，调价须提前告知并双方协商确认。</w:t>
            </w:r>
          </w:p>
        </w:tc>
      </w:tr>
      <w:tr w14:paraId="4168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2727EBDC">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数量要求</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B5009BF">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中标人和采购人工作人员在食品数量验收方面必须严格要求，不能弄虚作假，必须保证配送品各斤两的准确性，以采购人的验收数量为准，中标人每次随货提供一式两份的送货清单，供双方验货后签字确认，双方各持一份，作为送、收货的凭证。</w:t>
            </w:r>
          </w:p>
        </w:tc>
      </w:tr>
      <w:tr w14:paraId="2688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53884979">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时间要求</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457519D">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1、每批次在当地早上5点半点前将采购所订的货物送至采购人指定地点。</w:t>
            </w:r>
          </w:p>
          <w:p w14:paraId="1A6B9EC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2、如采购人验收不满意，中标人必须于一个小时内重新送货上门。</w:t>
            </w:r>
          </w:p>
          <w:p w14:paraId="65B1C13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3、中标人如送货迟到一次采购人应提出口头警告，并要求中标人作出书面保证；两次迟到或者一次迟到20分钟以上的扣罚当天总货款的30%；三次迟到或者两次迟到45分钟以上，</w:t>
            </w:r>
            <w:r>
              <w:rPr>
                <w:rFonts w:hint="eastAsia" w:ascii="仿宋_GB2312" w:hAnsi="仿宋_GB2312" w:eastAsia="仿宋_GB2312" w:cs="仿宋_GB2312"/>
                <w:color w:val="4E4E4E"/>
                <w:kern w:val="0"/>
                <w:sz w:val="21"/>
                <w:szCs w:val="21"/>
                <w:shd w:val="clear" w:color="auto" w:fill="FFFFFF"/>
                <w:lang w:val="zh-CN" w:bidi="ar"/>
              </w:rPr>
              <w:t>采购人有权单方面取消合同，不承担任何法律责任。</w:t>
            </w:r>
          </w:p>
        </w:tc>
      </w:tr>
      <w:tr w14:paraId="4F04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7209A2B">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人员要求</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657E7B8">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val="zh-TW" w:eastAsia="zh-TW" w:bidi="ar"/>
              </w:rPr>
            </w:pPr>
            <w:r>
              <w:rPr>
                <w:rFonts w:hint="eastAsia" w:ascii="仿宋_GB2312" w:hAnsi="仿宋_GB2312" w:eastAsia="仿宋_GB2312" w:cs="仿宋_GB2312"/>
                <w:color w:val="4E4E4E"/>
                <w:kern w:val="0"/>
                <w:sz w:val="21"/>
                <w:szCs w:val="21"/>
                <w:shd w:val="clear" w:color="auto" w:fill="FFFFFF"/>
                <w:lang w:bidi="ar"/>
              </w:rPr>
              <w:t>中标人保证至少有1名专职配送人员（人员工资、五险一金及福利待遇由中标人解决）由采购人调配使用，主要配合做好食堂的日常工作。</w:t>
            </w:r>
          </w:p>
        </w:tc>
      </w:tr>
      <w:tr w14:paraId="67D9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47CAC073">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其需说明的事项</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3D27023">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参与市场调研的单位需接受采购方每月对提供食材配送服务工作质量的考核（详见考核评分表）。</w:t>
            </w:r>
          </w:p>
        </w:tc>
      </w:tr>
      <w:tr w14:paraId="168B5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607B4AAE">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责任界定</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4A9B471">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1.参与市场调研的单位的食品必须符合国家有关部门规定的食品安全标准，如果参与市场调研的单位所供货的食品造成采购人就餐人员食物中毒的，经卫生防疫部门鉴定，属参与市场调研的单位责任，参与市场调研的单位必须承担全部法律责任并作出全部的经济赔偿，</w:t>
            </w:r>
            <w:r>
              <w:rPr>
                <w:rFonts w:hint="eastAsia" w:ascii="仿宋_GB2312" w:hAnsi="仿宋_GB2312" w:eastAsia="仿宋_GB2312" w:cs="仿宋_GB2312"/>
                <w:color w:val="4E4E4E"/>
                <w:kern w:val="0"/>
                <w:sz w:val="21"/>
                <w:szCs w:val="21"/>
                <w:shd w:val="clear" w:color="auto" w:fill="FFFFFF"/>
                <w:lang w:val="zh-CN" w:bidi="ar"/>
              </w:rPr>
              <w:t>采购人有权单方面取消合同，不承担任何法律责任。</w:t>
            </w:r>
            <w:r>
              <w:rPr>
                <w:rFonts w:hint="eastAsia" w:ascii="仿宋_GB2312" w:hAnsi="仿宋_GB2312" w:eastAsia="仿宋_GB2312" w:cs="仿宋_GB2312"/>
                <w:color w:val="4E4E4E"/>
                <w:kern w:val="0"/>
                <w:sz w:val="21"/>
                <w:szCs w:val="21"/>
                <w:shd w:val="clear" w:color="auto" w:fill="FFFFFF"/>
                <w:lang w:bidi="ar"/>
              </w:rPr>
              <w:t>合同终止后，</w:t>
            </w:r>
            <w:r>
              <w:rPr>
                <w:rFonts w:hint="eastAsia" w:ascii="仿宋_GB2312" w:hAnsi="仿宋_GB2312" w:eastAsia="仿宋_GB2312" w:cs="仿宋_GB2312"/>
                <w:color w:val="4E4E4E"/>
                <w:kern w:val="0"/>
                <w:sz w:val="21"/>
                <w:szCs w:val="21"/>
                <w:shd w:val="clear" w:color="auto" w:fill="FFFFFF"/>
                <w:lang w:val="zh-CN" w:bidi="ar"/>
              </w:rPr>
              <w:t>由</w:t>
            </w:r>
            <w:r>
              <w:rPr>
                <w:rFonts w:hint="eastAsia" w:ascii="仿宋_GB2312" w:hAnsi="仿宋_GB2312" w:eastAsia="仿宋_GB2312" w:cs="仿宋_GB2312"/>
                <w:color w:val="4E4E4E"/>
                <w:kern w:val="0"/>
                <w:sz w:val="21"/>
                <w:szCs w:val="21"/>
                <w:shd w:val="clear" w:color="auto" w:fill="FFFFFF"/>
                <w:lang w:bidi="ar"/>
              </w:rPr>
              <w:t>备选中标人</w:t>
            </w:r>
            <w:r>
              <w:rPr>
                <w:rFonts w:hint="eastAsia" w:ascii="仿宋_GB2312" w:hAnsi="仿宋_GB2312" w:eastAsia="仿宋_GB2312" w:cs="仿宋_GB2312"/>
                <w:color w:val="4E4E4E"/>
                <w:kern w:val="0"/>
                <w:sz w:val="21"/>
                <w:szCs w:val="21"/>
                <w:shd w:val="clear" w:color="auto" w:fill="FFFFFF"/>
                <w:lang w:val="zh-CN" w:bidi="ar"/>
              </w:rPr>
              <w:t>接替供货。</w:t>
            </w:r>
          </w:p>
          <w:p w14:paraId="78764B7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2.要求在卫生监督部门无食品卫生事故记录，一经查实，取消中标资格。</w:t>
            </w:r>
          </w:p>
          <w:p w14:paraId="57710A25">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3.此招标项目中标后不得转包或分包，一经发现，取消中标资格。</w:t>
            </w:r>
          </w:p>
          <w:p w14:paraId="49EE414A">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4.要求所送蔬菜类、鲜肉类等必须保鲜运送。</w:t>
            </w:r>
          </w:p>
          <w:p w14:paraId="4CB5F91E">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5.中标人须在收到中标通知书后1个月内购买保额不低于500万元的公众责任险（被保险人须包含采购人）及购买保额不低于500万元的食品安全责任险（被保险人须包含采购人），购买的保单复印件交由采购人管理部门存档，如未能按时购买，视为违约行为，采购人有权拒绝与中标人签订合同，一切经济损失由中标人承担。</w:t>
            </w:r>
          </w:p>
        </w:tc>
      </w:tr>
      <w:tr w14:paraId="008B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07EF2C69">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商务要求</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0CE8652">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自合同签订之日起一年。本项目为长期服务，合同期限可以延长，但最长不超过3年，具体期限由采购人根据中标人履约情况考核确定。合同每年签订一次，中标人履约情况经考核符合合同续期标准的，第二年和第三年可逐年签订续期合同。</w:t>
            </w:r>
          </w:p>
        </w:tc>
      </w:tr>
      <w:tr w14:paraId="59D61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73CCC0D6">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服务地点</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E199E28">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深圳市坪山区东纵路143号南方医科大学深圳口腔医院（坪山）</w:t>
            </w:r>
          </w:p>
        </w:tc>
      </w:tr>
      <w:tr w14:paraId="3E7C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592D2953">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项目预估规模</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2018278">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我院职工餐厅日均就餐人数约2</w:t>
            </w:r>
            <w:r>
              <w:rPr>
                <w:rFonts w:hint="eastAsia" w:ascii="仿宋_GB2312" w:hAnsi="仿宋_GB2312" w:eastAsia="仿宋_GB2312" w:cs="仿宋_GB2312"/>
                <w:color w:val="4E4E4E"/>
                <w:kern w:val="0"/>
                <w:sz w:val="21"/>
                <w:szCs w:val="21"/>
                <w:shd w:val="clear" w:color="auto" w:fill="FFFFFF"/>
                <w:lang w:val="en-US" w:eastAsia="zh-CN" w:bidi="ar"/>
              </w:rPr>
              <w:t>3</w:t>
            </w:r>
            <w:r>
              <w:rPr>
                <w:rFonts w:hint="eastAsia" w:ascii="仿宋_GB2312" w:hAnsi="仿宋_GB2312" w:eastAsia="仿宋_GB2312" w:cs="仿宋_GB2312"/>
                <w:color w:val="4E4E4E"/>
                <w:kern w:val="0"/>
                <w:sz w:val="21"/>
                <w:szCs w:val="21"/>
                <w:shd w:val="clear" w:color="auto" w:fill="FFFFFF"/>
                <w:lang w:bidi="ar"/>
              </w:rPr>
              <w:t>0人次，服务期为1-2年（具体以正式采购文件为准），食材配送部分由采购方和中标方每月进行结算，按照食材实际采购的价格进行结算，年度采购金额以实际供货量为准。供</w:t>
            </w:r>
            <w:bookmarkStart w:id="0" w:name="_GoBack"/>
            <w:bookmarkEnd w:id="0"/>
            <w:r>
              <w:rPr>
                <w:rFonts w:hint="eastAsia" w:ascii="仿宋_GB2312" w:hAnsi="仿宋_GB2312" w:eastAsia="仿宋_GB2312" w:cs="仿宋_GB2312"/>
                <w:color w:val="4E4E4E"/>
                <w:kern w:val="0"/>
                <w:sz w:val="21"/>
                <w:szCs w:val="21"/>
                <w:shd w:val="clear" w:color="auto" w:fill="FFFFFF"/>
                <w:lang w:bidi="ar"/>
              </w:rPr>
              <w:t>应商应充分考虑医院食堂非营利性运营特点，提供合理报价。</w:t>
            </w:r>
          </w:p>
        </w:tc>
      </w:tr>
      <w:tr w14:paraId="1C087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0"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5B6B1358">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b/>
                <w:bCs/>
                <w:color w:val="4E4E4E"/>
                <w:kern w:val="0"/>
                <w:sz w:val="21"/>
                <w:szCs w:val="21"/>
                <w:highlight w:val="yellow"/>
                <w:shd w:val="clear" w:color="auto" w:fill="FFFFFF"/>
                <w:lang w:bidi="ar"/>
              </w:rPr>
              <w:t>参与调研企业提供资料</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D7DB654">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供应商请按以下要求提交相关资料（须加盖公章）：</w:t>
            </w:r>
          </w:p>
          <w:p w14:paraId="35D4B1F4">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企业基本资质：营业执照副本复印件、食品经营/生产许可证复印件、法定代表人身份证明及授权委托书；</w:t>
            </w:r>
          </w:p>
          <w:p w14:paraId="0700CBB4">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企业简介：公司规模、组织架构、业务范围、仓储及配送能力说明（含冷链车辆数量、覆盖范围、日均配送量等）；</w:t>
            </w:r>
          </w:p>
          <w:p w14:paraId="1D7D1DCD">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食品安全管控方案：食材采购、验收、储存、配送、退换货管理制度，溯源体系建设情况，农残自检或第三方检测能力证明；</w:t>
            </w:r>
          </w:p>
          <w:p w14:paraId="6CBD7090">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报价方案：按品类提供详细报价清单（含税到货价），格式可自拟。平台型供应商须同时提供平台模式下各品类报价及平台服务费说明；</w:t>
            </w:r>
          </w:p>
          <w:p w14:paraId="6F80E3AA">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同类项目业绩：近2年内为医院、高校、政府机关或大型企事业单位提供食材配送服务的合同或中标通知书复印件（深圳地区业绩优先）；</w:t>
            </w:r>
          </w:p>
          <w:p w14:paraId="46E9B0A1">
            <w:pPr>
              <w:widowControl/>
              <w:numPr>
                <w:ilvl w:val="0"/>
                <w:numId w:val="2"/>
              </w:numPr>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服务方案：配送保障方案、应急供货预案、售后服务承诺；</w:t>
            </w:r>
          </w:p>
          <w:p w14:paraId="3926B1F2">
            <w:pPr>
              <w:widowControl/>
              <w:numPr>
                <w:ilvl w:val="0"/>
                <w:numId w:val="2"/>
              </w:numPr>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信用证明：“信用中国”及“中国政府采购网”无失信记录查询截图。</w:t>
            </w:r>
          </w:p>
        </w:tc>
      </w:tr>
      <w:tr w14:paraId="0C37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jc w:val="center"/>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5BC2622C">
            <w:pPr>
              <w:widowControl/>
              <w:shd w:val="clear" w:color="auto" w:fill="FFFFFF"/>
              <w:spacing w:line="240" w:lineRule="auto"/>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其他</w:t>
            </w:r>
          </w:p>
        </w:tc>
        <w:tc>
          <w:tcPr>
            <w:tcW w:w="813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86DEB38">
            <w:pPr>
              <w:widowControl/>
              <w:shd w:val="clear" w:color="auto" w:fill="FFFFFF"/>
              <w:spacing w:line="240" w:lineRule="auto"/>
              <w:ind w:firstLine="420" w:firstLineChars="20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考虑到采购管理的集约化与便捷性，鼓励供应商采用以下平台化服务模式：</w:t>
            </w:r>
          </w:p>
          <w:p w14:paraId="5C989EE0">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集采集配平台模式：供应商通过统一的集采集配平台整合上游优质供给，为采购人提供全品类一站式食材供应服务。平台应能实现采购需求高效汇聚、配送资源统一调度、食品安全全程溯源。</w:t>
            </w:r>
          </w:p>
          <w:p w14:paraId="0E313E38">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一站式B2B采购平台模式：供应商可通过线上平台提供从下单、配送到结算的全链路服务，采购人通过手机或电脑即可完成全品类食材采购，平台应具备电子对账、智能比价、售后保障等完整功能。</w:t>
            </w:r>
          </w:p>
          <w:p w14:paraId="14DCEA0D">
            <w:pPr>
              <w:widowControl/>
              <w:shd w:val="clear" w:color="auto" w:fill="FFFFFF"/>
              <w:spacing w:line="240" w:lineRule="auto"/>
              <w:ind w:firstLine="480"/>
              <w:jc w:val="left"/>
              <w:rPr>
                <w:rFonts w:ascii="仿宋_GB2312" w:hAnsi="仿宋_GB2312" w:eastAsia="仿宋_GB2312" w:cs="仿宋_GB2312"/>
                <w:color w:val="4E4E4E"/>
                <w:kern w:val="0"/>
                <w:sz w:val="21"/>
                <w:szCs w:val="21"/>
                <w:shd w:val="clear" w:color="auto" w:fill="FFFFFF"/>
                <w:lang w:bidi="ar"/>
              </w:rPr>
            </w:pPr>
            <w:r>
              <w:rPr>
                <w:rFonts w:hint="eastAsia" w:ascii="仿宋_GB2312" w:hAnsi="仿宋_GB2312" w:eastAsia="仿宋_GB2312" w:cs="仿宋_GB2312"/>
                <w:color w:val="4E4E4E"/>
                <w:kern w:val="0"/>
                <w:sz w:val="21"/>
                <w:szCs w:val="21"/>
                <w:shd w:val="clear" w:color="auto" w:fill="FFFFFF"/>
                <w:lang w:bidi="ar"/>
              </w:rPr>
              <w:t>食品安全高标准平台：高标准认证食材平台，其产品需通过供深食品标准体系评价，品质更有保障，适合医疗机构食堂对食品安全的高要求。</w:t>
            </w:r>
          </w:p>
        </w:tc>
      </w:tr>
    </w:tbl>
    <w:p w14:paraId="7C25993E"/>
    <w:p w14:paraId="3D391D73"/>
    <w:p w14:paraId="4AB1CEAB"/>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5598B"/>
    <w:multiLevelType w:val="singleLevel"/>
    <w:tmpl w:val="FB45598B"/>
    <w:lvl w:ilvl="0" w:tentative="0">
      <w:start w:val="1"/>
      <w:numFmt w:val="decimal"/>
      <w:suff w:val="nothing"/>
      <w:lvlText w:val="（%1）"/>
      <w:lvlJc w:val="left"/>
    </w:lvl>
  </w:abstractNum>
  <w:abstractNum w:abstractNumId="1">
    <w:nsid w:val="151FC5A2"/>
    <w:multiLevelType w:val="singleLevel"/>
    <w:tmpl w:val="151FC5A2"/>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1358F"/>
    <w:rsid w:val="00091798"/>
    <w:rsid w:val="003F1055"/>
    <w:rsid w:val="004010DC"/>
    <w:rsid w:val="006B097D"/>
    <w:rsid w:val="00BB4020"/>
    <w:rsid w:val="00F3781F"/>
    <w:rsid w:val="01516D6B"/>
    <w:rsid w:val="02303E75"/>
    <w:rsid w:val="02496B13"/>
    <w:rsid w:val="02523FF9"/>
    <w:rsid w:val="02771412"/>
    <w:rsid w:val="029C258E"/>
    <w:rsid w:val="036B66A9"/>
    <w:rsid w:val="038C3749"/>
    <w:rsid w:val="041B6E68"/>
    <w:rsid w:val="04506958"/>
    <w:rsid w:val="05C82F20"/>
    <w:rsid w:val="05F077E4"/>
    <w:rsid w:val="06081AD1"/>
    <w:rsid w:val="06304AE0"/>
    <w:rsid w:val="064317D4"/>
    <w:rsid w:val="066C1F56"/>
    <w:rsid w:val="076177BE"/>
    <w:rsid w:val="07A22E01"/>
    <w:rsid w:val="08823FD8"/>
    <w:rsid w:val="08C07FF1"/>
    <w:rsid w:val="08CE6557"/>
    <w:rsid w:val="08D64FB2"/>
    <w:rsid w:val="09AB2883"/>
    <w:rsid w:val="09D15E64"/>
    <w:rsid w:val="09D21E48"/>
    <w:rsid w:val="0A5662F9"/>
    <w:rsid w:val="0A5C0B72"/>
    <w:rsid w:val="0A9F77B6"/>
    <w:rsid w:val="0B721CE3"/>
    <w:rsid w:val="0B8029CB"/>
    <w:rsid w:val="0B8B5F05"/>
    <w:rsid w:val="0BCF64B8"/>
    <w:rsid w:val="0BE5424A"/>
    <w:rsid w:val="0C474A8F"/>
    <w:rsid w:val="0C6853B1"/>
    <w:rsid w:val="0CA72895"/>
    <w:rsid w:val="0CE7094A"/>
    <w:rsid w:val="0CFA611E"/>
    <w:rsid w:val="0D987E87"/>
    <w:rsid w:val="0E3068D2"/>
    <w:rsid w:val="0ECE1952"/>
    <w:rsid w:val="0F40200A"/>
    <w:rsid w:val="0F42099D"/>
    <w:rsid w:val="0FE002D2"/>
    <w:rsid w:val="108E0863"/>
    <w:rsid w:val="109E2735"/>
    <w:rsid w:val="10A203BA"/>
    <w:rsid w:val="10E031BD"/>
    <w:rsid w:val="11FF7B73"/>
    <w:rsid w:val="120C701C"/>
    <w:rsid w:val="124F296F"/>
    <w:rsid w:val="12875663"/>
    <w:rsid w:val="1289676C"/>
    <w:rsid w:val="128B1990"/>
    <w:rsid w:val="14013C2A"/>
    <w:rsid w:val="140E57F5"/>
    <w:rsid w:val="14371F85"/>
    <w:rsid w:val="151E4687"/>
    <w:rsid w:val="15B21810"/>
    <w:rsid w:val="15F3041B"/>
    <w:rsid w:val="166710BD"/>
    <w:rsid w:val="16842399"/>
    <w:rsid w:val="16857B11"/>
    <w:rsid w:val="16BB7E64"/>
    <w:rsid w:val="170E3AFE"/>
    <w:rsid w:val="1733750C"/>
    <w:rsid w:val="18524D56"/>
    <w:rsid w:val="18850ED6"/>
    <w:rsid w:val="18974F9D"/>
    <w:rsid w:val="18EC410A"/>
    <w:rsid w:val="19A47CFF"/>
    <w:rsid w:val="19C4384B"/>
    <w:rsid w:val="1A115748"/>
    <w:rsid w:val="1A702137"/>
    <w:rsid w:val="1A720AF1"/>
    <w:rsid w:val="1B30746A"/>
    <w:rsid w:val="1BBA593A"/>
    <w:rsid w:val="1C711B71"/>
    <w:rsid w:val="1C850E83"/>
    <w:rsid w:val="1C8E23C6"/>
    <w:rsid w:val="1CB8206A"/>
    <w:rsid w:val="1CD537DE"/>
    <w:rsid w:val="1D402D9C"/>
    <w:rsid w:val="1DA14DD1"/>
    <w:rsid w:val="1DC5452F"/>
    <w:rsid w:val="1E3C5744"/>
    <w:rsid w:val="1EE35161"/>
    <w:rsid w:val="20873512"/>
    <w:rsid w:val="20F16491"/>
    <w:rsid w:val="21D65BF0"/>
    <w:rsid w:val="22237B08"/>
    <w:rsid w:val="22427108"/>
    <w:rsid w:val="22A4235C"/>
    <w:rsid w:val="23173D00"/>
    <w:rsid w:val="234B621C"/>
    <w:rsid w:val="23C6129C"/>
    <w:rsid w:val="251437DA"/>
    <w:rsid w:val="25CA1D68"/>
    <w:rsid w:val="26211257"/>
    <w:rsid w:val="26382922"/>
    <w:rsid w:val="273D4D67"/>
    <w:rsid w:val="274615A9"/>
    <w:rsid w:val="27533BBD"/>
    <w:rsid w:val="27A91668"/>
    <w:rsid w:val="280E786D"/>
    <w:rsid w:val="283B65D6"/>
    <w:rsid w:val="284C4327"/>
    <w:rsid w:val="288B1F91"/>
    <w:rsid w:val="288B64F2"/>
    <w:rsid w:val="2A1C51CD"/>
    <w:rsid w:val="2B2D1489"/>
    <w:rsid w:val="2BE721E0"/>
    <w:rsid w:val="2C3A2B23"/>
    <w:rsid w:val="2C472932"/>
    <w:rsid w:val="2C7D3F08"/>
    <w:rsid w:val="2CC159A9"/>
    <w:rsid w:val="2CDE3070"/>
    <w:rsid w:val="2D637EA0"/>
    <w:rsid w:val="2D8F2C07"/>
    <w:rsid w:val="2D9940A5"/>
    <w:rsid w:val="2F083F3F"/>
    <w:rsid w:val="2FF2212E"/>
    <w:rsid w:val="303B55B5"/>
    <w:rsid w:val="30600313"/>
    <w:rsid w:val="3077434A"/>
    <w:rsid w:val="30BE2AFC"/>
    <w:rsid w:val="317A14F9"/>
    <w:rsid w:val="31A959C0"/>
    <w:rsid w:val="31BE4652"/>
    <w:rsid w:val="3208417C"/>
    <w:rsid w:val="3239712D"/>
    <w:rsid w:val="32D402A7"/>
    <w:rsid w:val="332B113B"/>
    <w:rsid w:val="335D2E00"/>
    <w:rsid w:val="354716AF"/>
    <w:rsid w:val="3564026D"/>
    <w:rsid w:val="35967134"/>
    <w:rsid w:val="35D951F8"/>
    <w:rsid w:val="35E75F71"/>
    <w:rsid w:val="360B6477"/>
    <w:rsid w:val="36D63BCB"/>
    <w:rsid w:val="36E30A34"/>
    <w:rsid w:val="375852F2"/>
    <w:rsid w:val="37C37EE8"/>
    <w:rsid w:val="37F121F3"/>
    <w:rsid w:val="37F20936"/>
    <w:rsid w:val="38085241"/>
    <w:rsid w:val="381476C1"/>
    <w:rsid w:val="38EA054F"/>
    <w:rsid w:val="38FE0874"/>
    <w:rsid w:val="39475442"/>
    <w:rsid w:val="3AAC46CE"/>
    <w:rsid w:val="3ADE2F5A"/>
    <w:rsid w:val="3C28151E"/>
    <w:rsid w:val="3C364472"/>
    <w:rsid w:val="3D0616DE"/>
    <w:rsid w:val="3D1723B4"/>
    <w:rsid w:val="3D881701"/>
    <w:rsid w:val="3D905B19"/>
    <w:rsid w:val="3DAA497A"/>
    <w:rsid w:val="3EF14A78"/>
    <w:rsid w:val="3FE735B5"/>
    <w:rsid w:val="408F5F95"/>
    <w:rsid w:val="413A711F"/>
    <w:rsid w:val="41786243"/>
    <w:rsid w:val="41786850"/>
    <w:rsid w:val="42786EE1"/>
    <w:rsid w:val="42AD3D91"/>
    <w:rsid w:val="42E46EC8"/>
    <w:rsid w:val="43A511C4"/>
    <w:rsid w:val="43EC4FC9"/>
    <w:rsid w:val="44071CEA"/>
    <w:rsid w:val="45A84480"/>
    <w:rsid w:val="45E132A9"/>
    <w:rsid w:val="465F441A"/>
    <w:rsid w:val="476719EB"/>
    <w:rsid w:val="48662915"/>
    <w:rsid w:val="48774737"/>
    <w:rsid w:val="48BA5ECB"/>
    <w:rsid w:val="48CE0E34"/>
    <w:rsid w:val="48D833EF"/>
    <w:rsid w:val="49385358"/>
    <w:rsid w:val="495031B5"/>
    <w:rsid w:val="49541922"/>
    <w:rsid w:val="4AE80EA0"/>
    <w:rsid w:val="4B817846"/>
    <w:rsid w:val="4B8F21FB"/>
    <w:rsid w:val="4B9242B5"/>
    <w:rsid w:val="4BBA25AB"/>
    <w:rsid w:val="4BFD138A"/>
    <w:rsid w:val="4C2F6DEE"/>
    <w:rsid w:val="4D1B0752"/>
    <w:rsid w:val="4D510EAD"/>
    <w:rsid w:val="4D610465"/>
    <w:rsid w:val="4E4643AE"/>
    <w:rsid w:val="4E5737BB"/>
    <w:rsid w:val="4EC3480B"/>
    <w:rsid w:val="4F8E4C65"/>
    <w:rsid w:val="4FB3234A"/>
    <w:rsid w:val="4FC94CEF"/>
    <w:rsid w:val="50477376"/>
    <w:rsid w:val="507C6F78"/>
    <w:rsid w:val="50A90973"/>
    <w:rsid w:val="510B7D51"/>
    <w:rsid w:val="5135591D"/>
    <w:rsid w:val="51473A1F"/>
    <w:rsid w:val="517754EA"/>
    <w:rsid w:val="51A36E42"/>
    <w:rsid w:val="51BE23C6"/>
    <w:rsid w:val="52247132"/>
    <w:rsid w:val="523235EB"/>
    <w:rsid w:val="528B0815"/>
    <w:rsid w:val="52DE59A0"/>
    <w:rsid w:val="52EF5596"/>
    <w:rsid w:val="531C7DD9"/>
    <w:rsid w:val="5358562F"/>
    <w:rsid w:val="53EE0A95"/>
    <w:rsid w:val="53F81A3A"/>
    <w:rsid w:val="54684787"/>
    <w:rsid w:val="5481527C"/>
    <w:rsid w:val="548D1E9F"/>
    <w:rsid w:val="55121EEE"/>
    <w:rsid w:val="556114C1"/>
    <w:rsid w:val="55973999"/>
    <w:rsid w:val="56697F52"/>
    <w:rsid w:val="56A3621A"/>
    <w:rsid w:val="570A714B"/>
    <w:rsid w:val="57194A45"/>
    <w:rsid w:val="572D403D"/>
    <w:rsid w:val="578509E1"/>
    <w:rsid w:val="584A3AEB"/>
    <w:rsid w:val="58FA3BE6"/>
    <w:rsid w:val="590A2FC1"/>
    <w:rsid w:val="595601A4"/>
    <w:rsid w:val="59A57661"/>
    <w:rsid w:val="5A0D2F03"/>
    <w:rsid w:val="5A246942"/>
    <w:rsid w:val="5AED0078"/>
    <w:rsid w:val="5AF33976"/>
    <w:rsid w:val="5B092A87"/>
    <w:rsid w:val="5BC90892"/>
    <w:rsid w:val="5C080C44"/>
    <w:rsid w:val="5C2F1EBF"/>
    <w:rsid w:val="5C3C4B88"/>
    <w:rsid w:val="5C956CE1"/>
    <w:rsid w:val="5CB816F0"/>
    <w:rsid w:val="5CCB282F"/>
    <w:rsid w:val="5D47265F"/>
    <w:rsid w:val="5E0A43F3"/>
    <w:rsid w:val="5E485EC6"/>
    <w:rsid w:val="5E8C37E4"/>
    <w:rsid w:val="5EB323A9"/>
    <w:rsid w:val="5F446E0B"/>
    <w:rsid w:val="5F8D040C"/>
    <w:rsid w:val="5FE1540B"/>
    <w:rsid w:val="5FFE05AE"/>
    <w:rsid w:val="603F14AA"/>
    <w:rsid w:val="60CD3BE1"/>
    <w:rsid w:val="60D1358F"/>
    <w:rsid w:val="6107158C"/>
    <w:rsid w:val="61522733"/>
    <w:rsid w:val="61FB7CEA"/>
    <w:rsid w:val="629C08F4"/>
    <w:rsid w:val="62C6379A"/>
    <w:rsid w:val="62F414D0"/>
    <w:rsid w:val="63AE19FC"/>
    <w:rsid w:val="63CE12ED"/>
    <w:rsid w:val="63E85E56"/>
    <w:rsid w:val="640E23AB"/>
    <w:rsid w:val="65B171F5"/>
    <w:rsid w:val="668E2961"/>
    <w:rsid w:val="674623E8"/>
    <w:rsid w:val="6747031A"/>
    <w:rsid w:val="675765F2"/>
    <w:rsid w:val="678B4824"/>
    <w:rsid w:val="68232CF4"/>
    <w:rsid w:val="684A6664"/>
    <w:rsid w:val="685D640C"/>
    <w:rsid w:val="69226F88"/>
    <w:rsid w:val="696F5752"/>
    <w:rsid w:val="69DA2BC2"/>
    <w:rsid w:val="6A896738"/>
    <w:rsid w:val="6A971CA2"/>
    <w:rsid w:val="6B1E108C"/>
    <w:rsid w:val="6B854ABD"/>
    <w:rsid w:val="6BFE2CB7"/>
    <w:rsid w:val="6CE84BEA"/>
    <w:rsid w:val="6CFD3517"/>
    <w:rsid w:val="6D046ABA"/>
    <w:rsid w:val="6D60789E"/>
    <w:rsid w:val="6DD0700B"/>
    <w:rsid w:val="6EC06AE3"/>
    <w:rsid w:val="6F0E3956"/>
    <w:rsid w:val="6F126C22"/>
    <w:rsid w:val="6F1A5AA7"/>
    <w:rsid w:val="6F3F0491"/>
    <w:rsid w:val="6FBA6E25"/>
    <w:rsid w:val="6FC3728C"/>
    <w:rsid w:val="6FEB7D0A"/>
    <w:rsid w:val="708019FD"/>
    <w:rsid w:val="70A07236"/>
    <w:rsid w:val="70A307A5"/>
    <w:rsid w:val="70D10E1A"/>
    <w:rsid w:val="70DD493C"/>
    <w:rsid w:val="713D68BB"/>
    <w:rsid w:val="71B857F5"/>
    <w:rsid w:val="71F37A13"/>
    <w:rsid w:val="726262B7"/>
    <w:rsid w:val="733A79B5"/>
    <w:rsid w:val="744E24BD"/>
    <w:rsid w:val="755F161D"/>
    <w:rsid w:val="75887F6E"/>
    <w:rsid w:val="75F730CF"/>
    <w:rsid w:val="76D23B14"/>
    <w:rsid w:val="771D2BC1"/>
    <w:rsid w:val="771D6F2D"/>
    <w:rsid w:val="778D7747"/>
    <w:rsid w:val="77DF20B0"/>
    <w:rsid w:val="781D5967"/>
    <w:rsid w:val="782B1DF4"/>
    <w:rsid w:val="78496546"/>
    <w:rsid w:val="789B1213"/>
    <w:rsid w:val="791D19D8"/>
    <w:rsid w:val="79DC0724"/>
    <w:rsid w:val="7AC056A3"/>
    <w:rsid w:val="7AC77C2C"/>
    <w:rsid w:val="7AFF3F00"/>
    <w:rsid w:val="7B0367A3"/>
    <w:rsid w:val="7BFB6F12"/>
    <w:rsid w:val="7C415704"/>
    <w:rsid w:val="7CD7486A"/>
    <w:rsid w:val="7D653C10"/>
    <w:rsid w:val="7D947889"/>
    <w:rsid w:val="7DA407B5"/>
    <w:rsid w:val="7E145254"/>
    <w:rsid w:val="7E1E20D7"/>
    <w:rsid w:val="7EAF0BBB"/>
    <w:rsid w:val="7EDC644C"/>
    <w:rsid w:val="7F323028"/>
    <w:rsid w:val="7FA46E96"/>
    <w:rsid w:val="7FB83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link w:val="20"/>
    <w:qFormat/>
    <w:uiPriority w:val="0"/>
    <w:pPr>
      <w:spacing w:before="100" w:beforeAutospacing="1" w:after="100" w:afterAutospacing="1"/>
      <w:jc w:val="center"/>
      <w:outlineLvl w:val="0"/>
    </w:pPr>
    <w:rPr>
      <w:rFonts w:hint="eastAsia" w:cs="Times New Roman"/>
      <w:b/>
      <w:kern w:val="44"/>
      <w:sz w:val="36"/>
      <w:szCs w:val="44"/>
    </w:rPr>
  </w:style>
  <w:style w:type="paragraph" w:styleId="3">
    <w:name w:val="heading 2"/>
    <w:basedOn w:val="1"/>
    <w:next w:val="1"/>
    <w:link w:val="19"/>
    <w:semiHidden/>
    <w:unhideWhenUsed/>
    <w:qFormat/>
    <w:uiPriority w:val="0"/>
    <w:pPr>
      <w:spacing w:beforeAutospacing="1" w:afterAutospacing="1"/>
      <w:jc w:val="left"/>
      <w:outlineLvl w:val="1"/>
    </w:pPr>
    <w:rPr>
      <w:rFonts w:hint="eastAsia" w:cs="Times New Roman"/>
      <w:b/>
      <w:bCs/>
      <w:color w:val="000000"/>
      <w:kern w:val="0"/>
      <w:sz w:val="36"/>
      <w:szCs w:val="36"/>
    </w:rPr>
  </w:style>
  <w:style w:type="paragraph" w:styleId="4">
    <w:name w:val="heading 3"/>
    <w:basedOn w:val="1"/>
    <w:next w:val="1"/>
    <w:link w:val="21"/>
    <w:semiHidden/>
    <w:unhideWhenUsed/>
    <w:qFormat/>
    <w:uiPriority w:val="0"/>
    <w:pPr>
      <w:spacing w:beforeAutospacing="1" w:afterAutospacing="1"/>
      <w:jc w:val="left"/>
      <w:outlineLvl w:val="2"/>
    </w:pPr>
    <w:rPr>
      <w:rFonts w:hint="eastAsia" w:cs="Times New Roman"/>
      <w:b/>
      <w:bCs/>
      <w:kern w:val="0"/>
      <w:sz w:val="27"/>
      <w:szCs w:val="27"/>
    </w:rPr>
  </w:style>
  <w:style w:type="paragraph" w:styleId="5">
    <w:name w:val="heading 4"/>
    <w:basedOn w:val="1"/>
    <w:next w:val="1"/>
    <w:link w:val="25"/>
    <w:semiHidden/>
    <w:unhideWhenUsed/>
    <w:qFormat/>
    <w:uiPriority w:val="0"/>
    <w:pPr>
      <w:tabs>
        <w:tab w:val="left" w:pos="864"/>
      </w:tabs>
      <w:adjustRightInd w:val="0"/>
      <w:snapToGrid w:val="0"/>
      <w:jc w:val="left"/>
      <w:outlineLvl w:val="3"/>
    </w:pPr>
    <w:rPr>
      <w:b/>
      <w:bCs/>
      <w:color w:val="000000"/>
      <w:sz w:val="28"/>
      <w:szCs w:val="28"/>
    </w:rPr>
  </w:style>
  <w:style w:type="paragraph" w:styleId="6">
    <w:name w:val="heading 5"/>
    <w:basedOn w:val="1"/>
    <w:next w:val="1"/>
    <w:semiHidden/>
    <w:unhideWhenUsed/>
    <w:qFormat/>
    <w:uiPriority w:val="0"/>
    <w:pPr>
      <w:keepNext/>
      <w:keepLines/>
      <w:outlineLvl w:val="4"/>
    </w:pPr>
    <w:rPr>
      <w:b/>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spacing w:line="240" w:lineRule="auto"/>
    </w:pPr>
    <w:rPr>
      <w:sz w:val="21"/>
      <w:szCs w:val="21"/>
    </w:rPr>
  </w:style>
  <w:style w:type="paragraph" w:styleId="8">
    <w:name w:val="Body Text"/>
    <w:basedOn w:val="1"/>
    <w:next w:val="1"/>
    <w:link w:val="26"/>
    <w:qFormat/>
    <w:uiPriority w:val="0"/>
    <w:rPr>
      <w:rFonts w:hint="eastAsia"/>
    </w:rPr>
  </w:style>
  <w:style w:type="paragraph" w:styleId="9">
    <w:name w:val="Body Text Indent"/>
    <w:basedOn w:val="1"/>
    <w:link w:val="28"/>
    <w:qFormat/>
    <w:uiPriority w:val="0"/>
    <w:pPr>
      <w:ind w:left="960"/>
    </w:pPr>
    <w:rPr>
      <w:kern w:val="0"/>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Normal (Web)"/>
    <w:basedOn w:val="1"/>
    <w:qFormat/>
    <w:uiPriority w:val="0"/>
  </w:style>
  <w:style w:type="paragraph" w:styleId="13">
    <w:name w:val="Body Text First Indent"/>
    <w:basedOn w:val="8"/>
    <w:next w:val="1"/>
    <w:qFormat/>
    <w:uiPriority w:val="0"/>
    <w:pPr>
      <w:adjustRightInd w:val="0"/>
      <w:snapToGrid w:val="0"/>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2 Char"/>
    <w:link w:val="3"/>
    <w:qFormat/>
    <w:uiPriority w:val="0"/>
    <w:rPr>
      <w:rFonts w:ascii="宋体" w:hAnsi="宋体" w:eastAsia="宋体" w:cs="宋体"/>
      <w:b/>
      <w:bCs/>
      <w:color w:val="000000"/>
      <w:kern w:val="0"/>
      <w:sz w:val="32"/>
      <w:szCs w:val="32"/>
      <w:lang w:val="en-US" w:eastAsia="zh-CN" w:bidi="ar"/>
    </w:rPr>
  </w:style>
  <w:style w:type="character" w:customStyle="1" w:styleId="20">
    <w:name w:val="标题 1 Char"/>
    <w:link w:val="2"/>
    <w:qFormat/>
    <w:uiPriority w:val="9"/>
    <w:rPr>
      <w:rFonts w:ascii="宋体" w:hAnsi="宋体" w:eastAsia="宋体" w:cs="宋体"/>
      <w:b/>
      <w:bCs/>
      <w:kern w:val="44"/>
      <w:sz w:val="36"/>
      <w:szCs w:val="36"/>
      <w:lang w:val="en-US" w:eastAsia="zh-CN" w:bidi="ar-SA"/>
    </w:rPr>
  </w:style>
  <w:style w:type="character" w:customStyle="1" w:styleId="21">
    <w:name w:val="标题 3 Char"/>
    <w:link w:val="4"/>
    <w:autoRedefine/>
    <w:qFormat/>
    <w:uiPriority w:val="0"/>
    <w:rPr>
      <w:rFonts w:hint="default" w:ascii="宋体" w:hAnsi="宋体" w:eastAsia="宋体" w:cs="宋体"/>
      <w:b/>
      <w:bCs/>
      <w:kern w:val="0"/>
      <w:sz w:val="30"/>
      <w:szCs w:val="30"/>
      <w:lang w:val="en-US" w:eastAsia="zh-CN" w:bidi="ar"/>
    </w:rPr>
  </w:style>
  <w:style w:type="paragraph" w:customStyle="1" w:styleId="22">
    <w:name w:val="表格文字"/>
    <w:basedOn w:val="1"/>
    <w:qFormat/>
    <w:uiPriority w:val="0"/>
    <w:pPr>
      <w:spacing w:line="240" w:lineRule="auto"/>
      <w:jc w:val="center"/>
    </w:pPr>
    <w:rPr>
      <w:rFonts w:hint="eastAsia"/>
      <w:snapToGrid w:val="0"/>
      <w:kern w:val="0"/>
      <w:sz w:val="21"/>
      <w:szCs w:val="21"/>
    </w:rPr>
  </w:style>
  <w:style w:type="paragraph" w:customStyle="1" w:styleId="23">
    <w:name w:val="普通(网站)1"/>
    <w:basedOn w:val="1"/>
    <w:qFormat/>
    <w:uiPriority w:val="0"/>
    <w:pPr>
      <w:widowControl/>
      <w:autoSpaceDE w:val="0"/>
      <w:autoSpaceDN w:val="0"/>
      <w:spacing w:line="240" w:lineRule="auto"/>
      <w:jc w:val="center"/>
    </w:pPr>
    <w:rPr>
      <w:sz w:val="18"/>
      <w:szCs w:val="15"/>
    </w:rPr>
  </w:style>
  <w:style w:type="paragraph" w:customStyle="1" w:styleId="24">
    <w:name w:val="样式 样式 样式 样式 首行缩进:  2 字符1 + 首行缩进:  2 字符 + 首行缩进:  2 字符 + (中文) 宋体 ..."/>
    <w:basedOn w:val="1"/>
    <w:semiHidden/>
    <w:qFormat/>
    <w:uiPriority w:val="0"/>
    <w:pPr>
      <w:tabs>
        <w:tab w:val="left" w:pos="0"/>
      </w:tabs>
      <w:spacing w:line="720" w:lineRule="auto"/>
    </w:pPr>
    <w:rPr>
      <w:rFonts w:ascii="Times New Roman" w:hAnsi="Times New Roman" w:cs="Times New Roman"/>
      <w:sz w:val="28"/>
      <w:szCs w:val="20"/>
    </w:rPr>
  </w:style>
  <w:style w:type="character" w:customStyle="1" w:styleId="25">
    <w:name w:val="标题 4 Char"/>
    <w:link w:val="5"/>
    <w:qFormat/>
    <w:uiPriority w:val="0"/>
    <w:rPr>
      <w:rFonts w:ascii="宋体" w:hAnsi="宋体" w:eastAsia="宋体" w:cs="宋体"/>
      <w:b/>
      <w:bCs/>
      <w:snapToGrid/>
      <w:color w:val="000000"/>
      <w:sz w:val="28"/>
      <w:szCs w:val="28"/>
    </w:rPr>
  </w:style>
  <w:style w:type="character" w:customStyle="1" w:styleId="26">
    <w:name w:val="正文文本 Char"/>
    <w:basedOn w:val="16"/>
    <w:link w:val="8"/>
    <w:unhideWhenUsed/>
    <w:qFormat/>
    <w:locked/>
    <w:uiPriority w:val="99"/>
    <w:rPr>
      <w:rFonts w:hint="eastAsia" w:ascii="宋体" w:hAnsi="宋体" w:eastAsia="宋体" w:cs="宋体"/>
      <w:sz w:val="24"/>
      <w:szCs w:val="24"/>
    </w:rPr>
  </w:style>
  <w:style w:type="paragraph" w:customStyle="1" w:styleId="27">
    <w:name w:val="正文1"/>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customStyle="1" w:styleId="28">
    <w:name w:val="正文文本缩进 Char"/>
    <w:link w:val="9"/>
    <w:autoRedefine/>
    <w:qFormat/>
    <w:uiPriority w:val="99"/>
    <w:rPr>
      <w:rFonts w:ascii="宋体" w:hAnsi="宋体" w:eastAsia="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5125</Words>
  <Characters>5242</Characters>
  <Lines>389</Lines>
  <Paragraphs>358</Paragraphs>
  <TotalTime>5</TotalTime>
  <ScaleCrop>false</ScaleCrop>
  <LinksUpToDate>false</LinksUpToDate>
  <CharactersWithSpaces>5244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2026-06-08T06:51:00Z</dcterms:created>
  <dc:creator>WPS_1559738400</dc:creator>
  <cp:lastModifiedBy>SMN</cp:lastModifiedBy>
  <dcterms:modified xsi:type="dcterms:W3CDTF">2026-08-03T07:34:03Z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5E97DA7861D94D5EB04944A08BE659F3_13</vt:lpwstr>
  </property>
  <property fmtid="{D5CDD505-2E9C-101B-9397-08002B2CF9AE}" pid="4" name="KSOTemplateDocerSaveRecord">
    <vt:lpwstr>eyJoZGlkIjoiNWI5MzFlZGQ1MWM5ZjJlZGU1ZDlkNWI3M2NjN2I4NDUiLCJ1c2VySWQiOiIzNDQ0ODA3MjQifQ==</vt:lpwstr>
  </property>
</Properties>
</file>