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96AEF">
      <w:pPr>
        <w:spacing w:line="440" w:lineRule="exact"/>
        <w:jc w:val="center"/>
        <w:rPr>
          <w:rFonts w:ascii="仿宋_GB2312" w:eastAsia="仿宋_GB2312"/>
          <w:b/>
          <w:sz w:val="32"/>
          <w:szCs w:val="32"/>
        </w:rPr>
      </w:pPr>
      <w:bookmarkStart w:id="0" w:name="OLE_LINK31"/>
      <w:bookmarkStart w:id="1" w:name="OLE_LINK32"/>
      <w:r>
        <w:rPr>
          <w:rFonts w:hint="eastAsia" w:ascii="仿宋_GB2312" w:eastAsia="仿宋_GB2312"/>
          <w:b/>
          <w:sz w:val="32"/>
          <w:szCs w:val="32"/>
        </w:rPr>
        <w:t>南方医科大学深圳口腔医院（坪山）</w:t>
      </w:r>
    </w:p>
    <w:p w14:paraId="3C409232">
      <w:pPr>
        <w:spacing w:line="440" w:lineRule="exact"/>
        <w:jc w:val="center"/>
        <w:rPr>
          <w:rFonts w:ascii="仿宋_GB2312" w:eastAsia="仿宋_GB2312"/>
          <w:b/>
          <w:sz w:val="32"/>
          <w:szCs w:val="32"/>
        </w:rPr>
      </w:pPr>
      <w:r>
        <w:rPr>
          <w:rFonts w:hint="eastAsia" w:ascii="仿宋_GB2312" w:eastAsia="仿宋_GB2312"/>
          <w:b/>
          <w:sz w:val="32"/>
          <w:szCs w:val="32"/>
        </w:rPr>
        <w:t>实验室管理系统（LIS）运维项目采购需求</w:t>
      </w:r>
      <w:bookmarkEnd w:id="0"/>
      <w:bookmarkEnd w:id="1"/>
    </w:p>
    <w:p w14:paraId="67A19BA2">
      <w:pPr>
        <w:spacing w:line="440" w:lineRule="exact"/>
        <w:jc w:val="center"/>
      </w:pPr>
      <w:r>
        <w:rPr>
          <w:rFonts w:hint="eastAsia" w:ascii="仿宋_GB2312" w:eastAsia="仿宋_GB2312"/>
          <w:b/>
          <w:sz w:val="28"/>
          <w:szCs w:val="32"/>
        </w:rPr>
        <w:t>（项目编码：</w:t>
      </w:r>
      <w:r>
        <w:rPr>
          <w:rFonts w:ascii="仿宋_GB2312" w:eastAsia="仿宋_GB2312"/>
          <w:b/>
          <w:sz w:val="28"/>
          <w:szCs w:val="32"/>
        </w:rPr>
        <w:t>NFYKDSZKQ-XXH-FW-LISYWXM-20260121006</w:t>
      </w:r>
      <w:r>
        <w:rPr>
          <w:rFonts w:hint="eastAsia" w:ascii="仿宋_GB2312" w:eastAsia="仿宋_GB2312"/>
          <w:b/>
          <w:sz w:val="28"/>
          <w:szCs w:val="32"/>
        </w:rPr>
        <w:t>）</w:t>
      </w:r>
    </w:p>
    <w:tbl>
      <w:tblPr>
        <w:tblStyle w:val="11"/>
        <w:tblW w:w="10540"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1113"/>
        <w:gridCol w:w="5107"/>
        <w:gridCol w:w="1985"/>
        <w:gridCol w:w="2335"/>
      </w:tblGrid>
      <w:tr w14:paraId="3803D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4A982CA2">
            <w:pPr>
              <w:rPr>
                <w:rFonts w:ascii="宋体" w:hAnsi="宋体" w:eastAsia="宋体" w:cs="宋体"/>
                <w:szCs w:val="21"/>
              </w:rPr>
            </w:pPr>
            <w:r>
              <w:rPr>
                <w:rFonts w:hint="eastAsia" w:ascii="宋体" w:hAnsi="宋体" w:eastAsia="宋体" w:cs="宋体"/>
                <w:szCs w:val="21"/>
              </w:rPr>
              <w:t>项目名称</w:t>
            </w:r>
          </w:p>
        </w:tc>
        <w:tc>
          <w:tcPr>
            <w:tcW w:w="5107" w:type="dxa"/>
            <w:vAlign w:val="center"/>
          </w:tcPr>
          <w:p w14:paraId="5CE096C2">
            <w:pPr>
              <w:rPr>
                <w:rFonts w:hint="default" w:ascii="宋体" w:hAnsi="宋体" w:eastAsia="宋体" w:cs="宋体"/>
                <w:szCs w:val="21"/>
                <w:lang w:val="en-US" w:eastAsia="zh-CN"/>
              </w:rPr>
            </w:pPr>
            <w:r>
              <w:rPr>
                <w:rFonts w:hint="eastAsia" w:ascii="宋体" w:hAnsi="宋体" w:eastAsia="宋体" w:cs="宋体"/>
                <w:szCs w:val="21"/>
              </w:rPr>
              <w:t>实验室管理系统（LIS）</w:t>
            </w:r>
            <w:r>
              <w:rPr>
                <w:rFonts w:hint="eastAsia" w:ascii="宋体" w:hAnsi="宋体" w:eastAsia="宋体" w:cs="宋体"/>
                <w:szCs w:val="21"/>
                <w:lang w:val="en-US" w:eastAsia="zh-CN"/>
              </w:rPr>
              <w:t>运维项目</w:t>
            </w:r>
          </w:p>
        </w:tc>
        <w:tc>
          <w:tcPr>
            <w:tcW w:w="1985" w:type="dxa"/>
            <w:vAlign w:val="center"/>
          </w:tcPr>
          <w:p w14:paraId="075F3990">
            <w:pPr>
              <w:rPr>
                <w:rFonts w:ascii="宋体" w:hAnsi="宋体" w:eastAsia="宋体" w:cs="宋体"/>
                <w:szCs w:val="21"/>
              </w:rPr>
            </w:pPr>
            <w:r>
              <w:rPr>
                <w:rFonts w:hint="eastAsia" w:ascii="宋体" w:hAnsi="宋体" w:eastAsia="宋体" w:cs="宋体"/>
                <w:szCs w:val="21"/>
              </w:rPr>
              <w:t>是否预选项目</w:t>
            </w:r>
          </w:p>
        </w:tc>
        <w:tc>
          <w:tcPr>
            <w:tcW w:w="2335" w:type="dxa"/>
            <w:vAlign w:val="center"/>
          </w:tcPr>
          <w:p w14:paraId="6C78AA49">
            <w:pPr>
              <w:rPr>
                <w:rFonts w:ascii="宋体" w:hAnsi="宋体" w:eastAsia="宋体" w:cs="宋体"/>
                <w:szCs w:val="21"/>
              </w:rPr>
            </w:pPr>
            <w:r>
              <w:rPr>
                <w:rFonts w:hint="eastAsia" w:ascii="宋体" w:hAnsi="宋体" w:eastAsia="宋体" w:cs="宋体"/>
                <w:szCs w:val="21"/>
              </w:rPr>
              <w:t>否</w:t>
            </w:r>
          </w:p>
        </w:tc>
      </w:tr>
      <w:tr w14:paraId="368C8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744D0627">
            <w:pPr>
              <w:rPr>
                <w:rFonts w:ascii="宋体" w:hAnsi="宋体" w:eastAsia="宋体" w:cs="宋体"/>
                <w:szCs w:val="21"/>
              </w:rPr>
            </w:pPr>
            <w:r>
              <w:rPr>
                <w:rFonts w:hint="eastAsia" w:ascii="宋体" w:hAnsi="宋体" w:eastAsia="宋体" w:cs="宋体"/>
                <w:szCs w:val="21"/>
              </w:rPr>
              <w:t>采购人名称</w:t>
            </w:r>
          </w:p>
        </w:tc>
        <w:tc>
          <w:tcPr>
            <w:tcW w:w="5107" w:type="dxa"/>
            <w:vAlign w:val="center"/>
          </w:tcPr>
          <w:p w14:paraId="14A22D88">
            <w:pPr>
              <w:rPr>
                <w:rFonts w:ascii="宋体" w:hAnsi="宋体" w:eastAsia="宋体" w:cs="宋体"/>
                <w:szCs w:val="21"/>
              </w:rPr>
            </w:pPr>
            <w:r>
              <w:rPr>
                <w:rFonts w:hint="eastAsia" w:ascii="宋体" w:hAnsi="宋体" w:eastAsia="宋体" w:cs="宋体"/>
                <w:szCs w:val="21"/>
              </w:rPr>
              <w:t>南方医科大学深圳口腔医院（坪山）</w:t>
            </w:r>
          </w:p>
        </w:tc>
        <w:tc>
          <w:tcPr>
            <w:tcW w:w="1985" w:type="dxa"/>
            <w:vAlign w:val="center"/>
          </w:tcPr>
          <w:p w14:paraId="22C1BD6A">
            <w:pPr>
              <w:rPr>
                <w:rFonts w:ascii="宋体" w:hAnsi="宋体" w:eastAsia="宋体" w:cs="宋体"/>
                <w:szCs w:val="21"/>
              </w:rPr>
            </w:pPr>
            <w:r>
              <w:rPr>
                <w:rFonts w:hint="eastAsia" w:ascii="宋体" w:hAnsi="宋体" w:eastAsia="宋体" w:cs="宋体"/>
                <w:szCs w:val="21"/>
              </w:rPr>
              <w:t>采购方式</w:t>
            </w:r>
          </w:p>
        </w:tc>
        <w:tc>
          <w:tcPr>
            <w:tcW w:w="2335" w:type="dxa"/>
            <w:vAlign w:val="center"/>
          </w:tcPr>
          <w:p w14:paraId="3730702B">
            <w:pPr>
              <w:rPr>
                <w:rFonts w:ascii="宋体" w:hAnsi="宋体" w:eastAsia="宋体" w:cs="宋体"/>
                <w:szCs w:val="21"/>
              </w:rPr>
            </w:pPr>
            <w:r>
              <w:rPr>
                <w:rFonts w:hint="eastAsia" w:ascii="宋体" w:hAnsi="宋体" w:eastAsia="宋体" w:cs="宋体"/>
                <w:szCs w:val="21"/>
                <w:lang w:val="en-US" w:eastAsia="zh-CN"/>
              </w:rPr>
              <w:t>公开</w:t>
            </w:r>
            <w:r>
              <w:rPr>
                <w:rFonts w:hint="eastAsia" w:ascii="宋体" w:hAnsi="宋体" w:eastAsia="宋体" w:cs="宋体"/>
                <w:szCs w:val="21"/>
              </w:rPr>
              <w:t>询价采购</w:t>
            </w:r>
          </w:p>
        </w:tc>
      </w:tr>
      <w:tr w14:paraId="45F8C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6C819CAA">
            <w:pPr>
              <w:rPr>
                <w:rFonts w:ascii="宋体" w:hAnsi="宋体" w:eastAsia="宋体" w:cs="宋体"/>
                <w:szCs w:val="21"/>
              </w:rPr>
            </w:pPr>
            <w:r>
              <w:rPr>
                <w:rFonts w:hint="eastAsia" w:ascii="宋体" w:hAnsi="宋体" w:eastAsia="宋体" w:cs="宋体"/>
                <w:szCs w:val="21"/>
              </w:rPr>
              <w:t>预算限额（元）</w:t>
            </w:r>
          </w:p>
        </w:tc>
        <w:tc>
          <w:tcPr>
            <w:tcW w:w="9427" w:type="dxa"/>
            <w:gridSpan w:val="3"/>
            <w:vAlign w:val="center"/>
          </w:tcPr>
          <w:p w14:paraId="60241488">
            <w:pPr>
              <w:rPr>
                <w:rFonts w:ascii="宋体" w:hAnsi="宋体" w:eastAsia="宋体" w:cs="宋体"/>
                <w:szCs w:val="21"/>
              </w:rPr>
            </w:pPr>
            <w:r>
              <w:rPr>
                <w:rFonts w:hint="eastAsia" w:ascii="宋体" w:hAnsi="宋体" w:eastAsia="宋体" w:cs="宋体"/>
                <w:szCs w:val="21"/>
              </w:rPr>
              <w:t>20000.00元</w:t>
            </w:r>
          </w:p>
        </w:tc>
      </w:tr>
      <w:tr w14:paraId="5BAFF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842" w:hRule="atLeast"/>
          <w:tblCellSpacing w:w="0" w:type="dxa"/>
          <w:jc w:val="center"/>
        </w:trPr>
        <w:tc>
          <w:tcPr>
            <w:tcW w:w="1113" w:type="dxa"/>
            <w:vAlign w:val="center"/>
          </w:tcPr>
          <w:p w14:paraId="67333B09">
            <w:pPr>
              <w:rPr>
                <w:rFonts w:ascii="宋体" w:hAnsi="宋体" w:eastAsia="宋体" w:cs="宋体"/>
                <w:szCs w:val="21"/>
              </w:rPr>
            </w:pPr>
            <w:r>
              <w:rPr>
                <w:rFonts w:hint="eastAsia" w:ascii="宋体" w:hAnsi="宋体" w:eastAsia="宋体" w:cs="宋体"/>
                <w:szCs w:val="21"/>
              </w:rPr>
              <w:t>项目背景</w:t>
            </w:r>
          </w:p>
        </w:tc>
        <w:tc>
          <w:tcPr>
            <w:tcW w:w="9427" w:type="dxa"/>
            <w:gridSpan w:val="3"/>
            <w:vAlign w:val="center"/>
          </w:tcPr>
          <w:p w14:paraId="6B22EF2A">
            <w:pPr>
              <w:ind w:firstLine="420" w:firstLineChars="200"/>
              <w:rPr>
                <w:rFonts w:ascii="宋体" w:hAnsi="宋体" w:eastAsia="宋体" w:cs="宋体"/>
                <w:szCs w:val="21"/>
              </w:rPr>
            </w:pPr>
            <w:r>
              <w:rPr>
                <w:rFonts w:hint="eastAsia"/>
              </w:rPr>
              <w:t>实验室管理系统（LIS）是采购方的核心业务系统，采用C/S、B/S架构，已持续稳定运行5年。为保障其长期高效运转，现开展实验室管理系统（LIS）运维服务采购工作。LIS系统主要包含以下关键模块：门诊采样、住院采样、科室日常工作模块、查询统计模块、质控管理模块、HIS/平台接口模块，以及数据接口上报服务。</w:t>
            </w:r>
          </w:p>
        </w:tc>
      </w:tr>
      <w:tr w14:paraId="0EF65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177A8AB8">
            <w:pPr>
              <w:rPr>
                <w:rFonts w:ascii="宋体" w:hAnsi="宋体" w:eastAsia="宋体" w:cs="宋体"/>
                <w:szCs w:val="21"/>
              </w:rPr>
            </w:pPr>
            <w:r>
              <w:rPr>
                <w:rFonts w:hint="eastAsia" w:ascii="宋体" w:hAnsi="宋体" w:eastAsia="宋体" w:cs="宋体"/>
                <w:szCs w:val="21"/>
              </w:rPr>
              <w:t>报价人资质要求</w:t>
            </w:r>
          </w:p>
        </w:tc>
        <w:tc>
          <w:tcPr>
            <w:tcW w:w="9427" w:type="dxa"/>
            <w:gridSpan w:val="3"/>
            <w:vAlign w:val="center"/>
          </w:tcPr>
          <w:p w14:paraId="43791E80">
            <w:pPr>
              <w:rPr>
                <w:rFonts w:ascii="宋体" w:hAnsi="宋体" w:eastAsia="宋体" w:cs="宋体"/>
                <w:szCs w:val="21"/>
              </w:rPr>
            </w:pPr>
            <w:r>
              <w:rPr>
                <w:rFonts w:hint="eastAsia" w:ascii="宋体" w:hAnsi="宋体" w:eastAsia="宋体" w:cs="宋体"/>
                <w:szCs w:val="21"/>
              </w:rPr>
              <w:t>1）报价人</w:t>
            </w:r>
            <w:r>
              <w:rPr>
                <w:rFonts w:hint="eastAsia"/>
                <w:szCs w:val="21"/>
              </w:rPr>
              <w:t>具有独立承担民事责任的能力（提供营业执照或事业单位法人证书等证明资料</w:t>
            </w:r>
            <w:bookmarkStart w:id="4" w:name="_GoBack"/>
            <w:bookmarkEnd w:id="4"/>
            <w:r>
              <w:rPr>
                <w:rFonts w:hint="eastAsia"/>
                <w:szCs w:val="21"/>
              </w:rPr>
              <w:t>扫描件；分支机构参与项目报价的，须同时提供总公司授权文件且授权书载明其民事责任由总公司承担，提供总公司及分支机构的营业执照扫描件，总公司或者分支机构只允许一家参与报价，不允许同时参与本项目报价）</w:t>
            </w:r>
            <w:r>
              <w:rPr>
                <w:rFonts w:hint="eastAsia" w:ascii="宋体" w:hAnsi="宋体" w:eastAsia="宋体" w:cs="宋体"/>
                <w:szCs w:val="21"/>
              </w:rPr>
              <w:t>（提供营业执照原件扫描件并加盖报价人公章）。</w:t>
            </w:r>
          </w:p>
          <w:p w14:paraId="1893E5F3">
            <w:pPr>
              <w:rPr>
                <w:rFonts w:ascii="宋体" w:hAnsi="宋体" w:eastAsia="宋体" w:cs="宋体"/>
                <w:szCs w:val="21"/>
              </w:rPr>
            </w:pPr>
            <w:r>
              <w:rPr>
                <w:rFonts w:hint="eastAsia" w:ascii="宋体" w:hAnsi="宋体" w:eastAsia="宋体" w:cs="宋体"/>
                <w:szCs w:val="21"/>
              </w:rPr>
              <w:t>2）本项目不接受联合体报价，不允许分包、转包，不接受报价人选用进口产品参与报价（由报价人在《政府采购报价及履约承诺函》中做出声明）。</w:t>
            </w:r>
          </w:p>
          <w:p w14:paraId="7CE95FC2">
            <w:pPr>
              <w:rPr>
                <w:rFonts w:ascii="宋体" w:hAnsi="宋体" w:eastAsia="宋体" w:cs="宋体"/>
                <w:szCs w:val="21"/>
              </w:rPr>
            </w:pPr>
            <w:r>
              <w:rPr>
                <w:rFonts w:hint="eastAsia" w:ascii="宋体" w:hAnsi="宋体" w:eastAsia="宋体" w:cs="宋体"/>
                <w:szCs w:val="21"/>
              </w:rPr>
              <w:t>3）报价人近三年内无行贿犯罪记录（由报价人在《政府采购报价及履约承诺函》中做出声明）。</w:t>
            </w:r>
          </w:p>
          <w:p w14:paraId="200B966E">
            <w:pPr>
              <w:rPr>
                <w:rFonts w:ascii="宋体" w:hAnsi="宋体" w:eastAsia="宋体" w:cs="宋体"/>
                <w:szCs w:val="21"/>
              </w:rPr>
            </w:pPr>
            <w:r>
              <w:rPr>
                <w:rFonts w:hint="eastAsia" w:ascii="宋体" w:hAnsi="宋体" w:eastAsia="宋体" w:cs="宋体"/>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14:paraId="7796C4A9">
            <w:pPr>
              <w:rPr>
                <w:rFonts w:ascii="宋体" w:hAnsi="宋体" w:eastAsia="宋体" w:cs="宋体"/>
                <w:szCs w:val="21"/>
              </w:rPr>
            </w:pPr>
            <w:r>
              <w:rPr>
                <w:rFonts w:hint="eastAsia" w:ascii="宋体" w:hAnsi="宋体" w:eastAsia="宋体" w:cs="宋体"/>
                <w:szCs w:val="21"/>
              </w:rPr>
              <w:t>5）参与本项目的报价人不存在被有关部门禁止参与政府采购活动且在有效期内的情况（由报价人在《政府采购报价及履约承诺函》中做出声明）。</w:t>
            </w:r>
          </w:p>
          <w:p w14:paraId="612B6F07">
            <w:pPr>
              <w:rPr>
                <w:rFonts w:ascii="宋体" w:hAnsi="宋体" w:eastAsia="宋体" w:cs="宋体"/>
                <w:szCs w:val="21"/>
              </w:rPr>
            </w:pPr>
            <w:r>
              <w:rPr>
                <w:rFonts w:hint="eastAsia" w:ascii="宋体" w:hAnsi="宋体" w:eastAsia="宋体" w:cs="宋体"/>
                <w:szCs w:val="21"/>
              </w:rPr>
              <w:t>6.</w:t>
            </w:r>
            <w:r>
              <w:rPr>
                <w:rFonts w:hint="eastAsia"/>
                <w:szCs w:val="21"/>
              </w:rPr>
              <w:t xml:space="preserve"> 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的报价（由供应商填写</w:t>
            </w:r>
            <w:r>
              <w:rPr>
                <w:rFonts w:hint="eastAsia"/>
                <w:b/>
                <w:szCs w:val="21"/>
              </w:rPr>
              <w:t>《供应商基本情况表》</w:t>
            </w:r>
            <w:r>
              <w:rPr>
                <w:rFonts w:hint="eastAsia"/>
                <w:szCs w:val="21"/>
              </w:rPr>
              <w:t>相关信息）</w:t>
            </w:r>
            <w:r>
              <w:rPr>
                <w:rFonts w:asciiTheme="minorEastAsia" w:hAnsiTheme="minorEastAsia"/>
                <w:szCs w:val="21"/>
              </w:rPr>
              <w:t>。</w:t>
            </w:r>
          </w:p>
        </w:tc>
      </w:tr>
      <w:tr w14:paraId="3695F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650" w:hRule="atLeast"/>
          <w:tblCellSpacing w:w="0" w:type="dxa"/>
          <w:jc w:val="center"/>
        </w:trPr>
        <w:tc>
          <w:tcPr>
            <w:tcW w:w="1113" w:type="dxa"/>
            <w:tcBorders>
              <w:bottom w:val="single" w:color="auto" w:sz="4" w:space="0"/>
            </w:tcBorders>
            <w:vAlign w:val="center"/>
          </w:tcPr>
          <w:p w14:paraId="07D8EDC9">
            <w:pPr>
              <w:rPr>
                <w:rFonts w:ascii="宋体" w:hAnsi="宋体" w:eastAsia="宋体" w:cs="宋体"/>
                <w:szCs w:val="21"/>
              </w:rPr>
            </w:pPr>
            <w:bookmarkStart w:id="2" w:name="_Hlk132703410"/>
            <w:r>
              <w:rPr>
                <w:rFonts w:hint="eastAsia" w:ascii="宋体" w:hAnsi="宋体" w:eastAsia="宋体" w:cs="宋体"/>
                <w:color w:val="C00000"/>
                <w:szCs w:val="21"/>
              </w:rPr>
              <w:t>服务清单及要求</w:t>
            </w:r>
          </w:p>
        </w:tc>
        <w:tc>
          <w:tcPr>
            <w:tcW w:w="9427" w:type="dxa"/>
            <w:gridSpan w:val="3"/>
            <w:tcBorders>
              <w:bottom w:val="single" w:color="auto" w:sz="4" w:space="0"/>
            </w:tcBorders>
            <w:vAlign w:val="center"/>
          </w:tcPr>
          <w:p w14:paraId="0F707843">
            <w:pPr>
              <w:numPr>
                <w:ilvl w:val="0"/>
                <w:numId w:val="1"/>
              </w:numPr>
            </w:pPr>
            <w:r>
              <w:rPr>
                <w:rFonts w:hint="eastAsia"/>
              </w:rPr>
              <w:t>LIS系统运维服务内容包括技术支持热线、数据优化维护、故障解决、培训指导服务、升级服务，具体说明如下：</w:t>
            </w:r>
          </w:p>
          <w:tbl>
            <w:tblPr>
              <w:tblStyle w:val="11"/>
              <w:tblW w:w="9325" w:type="dxa"/>
              <w:tblInd w:w="0" w:type="dxa"/>
              <w:tblLayout w:type="fixed"/>
              <w:tblCellMar>
                <w:top w:w="0" w:type="dxa"/>
                <w:left w:w="108" w:type="dxa"/>
                <w:bottom w:w="0" w:type="dxa"/>
                <w:right w:w="108" w:type="dxa"/>
              </w:tblCellMar>
            </w:tblPr>
            <w:tblGrid>
              <w:gridCol w:w="678"/>
              <w:gridCol w:w="1559"/>
              <w:gridCol w:w="7088"/>
            </w:tblGrid>
            <w:tr w14:paraId="67A7B622">
              <w:tblPrEx>
                <w:tblCellMar>
                  <w:top w:w="0" w:type="dxa"/>
                  <w:left w:w="108" w:type="dxa"/>
                  <w:bottom w:w="0" w:type="dxa"/>
                  <w:right w:w="108" w:type="dxa"/>
                </w:tblCellMar>
              </w:tblPrEx>
              <w:trPr>
                <w:trHeight w:val="270"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269D9282">
                  <w:pPr>
                    <w:widowControl/>
                    <w:spacing w:line="375" w:lineRule="atLeast"/>
                    <w:jc w:val="left"/>
                    <w:rPr>
                      <w:rFonts w:ascii="宋体" w:hAnsi="宋体" w:eastAsia="宋体" w:cs="宋体"/>
                      <w:b/>
                      <w:bCs/>
                      <w:color w:val="000000"/>
                      <w:szCs w:val="21"/>
                    </w:rPr>
                  </w:pPr>
                  <w:r>
                    <w:rPr>
                      <w:rStyle w:val="14"/>
                      <w:rFonts w:hint="eastAsia" w:ascii="宋体" w:hAnsi="宋体" w:eastAsia="宋体" w:cs="宋体"/>
                      <w:color w:val="0F1115"/>
                      <w:kern w:val="0"/>
                      <w:szCs w:val="21"/>
                      <w:lang w:bidi="ar"/>
                    </w:rPr>
                    <w:t>序号</w:t>
                  </w:r>
                </w:p>
              </w:tc>
              <w:tc>
                <w:tcPr>
                  <w:tcW w:w="1559" w:type="dxa"/>
                  <w:tcBorders>
                    <w:top w:val="single" w:color="000000" w:sz="4" w:space="0"/>
                    <w:left w:val="single" w:color="000000" w:sz="4" w:space="0"/>
                    <w:bottom w:val="single" w:color="000000" w:sz="4" w:space="0"/>
                    <w:right w:val="single" w:color="000000" w:sz="4" w:space="0"/>
                  </w:tcBorders>
                  <w:vAlign w:val="center"/>
                </w:tcPr>
                <w:p w14:paraId="060A4D50">
                  <w:pPr>
                    <w:widowControl/>
                    <w:spacing w:line="375" w:lineRule="atLeast"/>
                    <w:jc w:val="center"/>
                    <w:rPr>
                      <w:rFonts w:ascii="宋体" w:hAnsi="宋体" w:eastAsia="宋体" w:cs="宋体"/>
                      <w:b/>
                      <w:bCs/>
                      <w:color w:val="000000"/>
                      <w:szCs w:val="21"/>
                    </w:rPr>
                  </w:pPr>
                  <w:r>
                    <w:rPr>
                      <w:rStyle w:val="14"/>
                      <w:rFonts w:hint="eastAsia" w:ascii="宋体" w:hAnsi="宋体" w:eastAsia="宋体" w:cs="宋体"/>
                      <w:color w:val="0F1115"/>
                      <w:kern w:val="0"/>
                      <w:szCs w:val="21"/>
                      <w:lang w:bidi="ar"/>
                    </w:rPr>
                    <w:t>功能模块/服务类别</w:t>
                  </w:r>
                </w:p>
              </w:tc>
              <w:tc>
                <w:tcPr>
                  <w:tcW w:w="7088" w:type="dxa"/>
                  <w:tcBorders>
                    <w:top w:val="single" w:color="000000" w:sz="4" w:space="0"/>
                    <w:left w:val="single" w:color="000000" w:sz="4" w:space="0"/>
                    <w:bottom w:val="single" w:color="000000" w:sz="4" w:space="0"/>
                    <w:right w:val="single" w:color="000000" w:sz="4" w:space="0"/>
                  </w:tcBorders>
                  <w:vAlign w:val="center"/>
                </w:tcPr>
                <w:p w14:paraId="54449F7F">
                  <w:pPr>
                    <w:widowControl/>
                    <w:spacing w:line="375" w:lineRule="atLeast"/>
                    <w:jc w:val="center"/>
                    <w:rPr>
                      <w:rFonts w:ascii="宋体" w:hAnsi="宋体" w:eastAsia="宋体" w:cs="宋体"/>
                      <w:b/>
                      <w:bCs/>
                      <w:color w:val="000000"/>
                      <w:szCs w:val="21"/>
                    </w:rPr>
                  </w:pPr>
                  <w:r>
                    <w:rPr>
                      <w:rStyle w:val="14"/>
                      <w:rFonts w:hint="eastAsia" w:ascii="宋体" w:hAnsi="宋体" w:eastAsia="宋体" w:cs="宋体"/>
                      <w:color w:val="0F1115"/>
                      <w:kern w:val="0"/>
                      <w:szCs w:val="21"/>
                      <w:lang w:bidi="ar"/>
                    </w:rPr>
                    <w:t>细化服务内容与要求</w:t>
                  </w:r>
                </w:p>
              </w:tc>
            </w:tr>
            <w:tr w14:paraId="2DB33C4D">
              <w:tblPrEx>
                <w:tblCellMar>
                  <w:top w:w="0" w:type="dxa"/>
                  <w:left w:w="108" w:type="dxa"/>
                  <w:bottom w:w="0" w:type="dxa"/>
                  <w:right w:w="108" w:type="dxa"/>
                </w:tblCellMar>
              </w:tblPrEx>
              <w:trPr>
                <w:trHeight w:val="584"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28031EE1">
                  <w:pPr>
                    <w:widowControl/>
                    <w:spacing w:line="375" w:lineRule="atLeast"/>
                    <w:jc w:val="left"/>
                    <w:rPr>
                      <w:rFonts w:ascii="宋体" w:hAnsi="宋体" w:eastAsia="宋体" w:cs="宋体"/>
                      <w:b/>
                      <w:bCs/>
                      <w:color w:val="000000"/>
                      <w:szCs w:val="21"/>
                    </w:rPr>
                  </w:pPr>
                  <w:r>
                    <w:rPr>
                      <w:rStyle w:val="14"/>
                      <w:rFonts w:hint="eastAsia" w:ascii="宋体" w:hAnsi="宋体" w:eastAsia="宋体" w:cs="宋体"/>
                      <w:color w:val="0F1115"/>
                      <w:kern w:val="0"/>
                      <w:szCs w:val="21"/>
                      <w:lang w:bidi="ar"/>
                    </w:rPr>
                    <w:t>1</w:t>
                  </w:r>
                </w:p>
              </w:tc>
              <w:tc>
                <w:tcPr>
                  <w:tcW w:w="1559" w:type="dxa"/>
                  <w:tcBorders>
                    <w:top w:val="single" w:color="000000" w:sz="4" w:space="0"/>
                    <w:left w:val="single" w:color="000000" w:sz="4" w:space="0"/>
                    <w:bottom w:val="single" w:color="000000" w:sz="4" w:space="0"/>
                    <w:right w:val="single" w:color="000000" w:sz="4" w:space="0"/>
                  </w:tcBorders>
                  <w:vAlign w:val="center"/>
                </w:tcPr>
                <w:p w14:paraId="1AC46021">
                  <w:pPr>
                    <w:widowControl/>
                    <w:spacing w:line="375" w:lineRule="atLeast"/>
                    <w:jc w:val="left"/>
                    <w:rPr>
                      <w:rFonts w:ascii="宋体" w:hAnsi="宋体" w:eastAsia="宋体" w:cs="宋体"/>
                      <w:b/>
                      <w:bCs/>
                      <w:color w:val="000000"/>
                      <w:szCs w:val="21"/>
                    </w:rPr>
                  </w:pPr>
                  <w:r>
                    <w:rPr>
                      <w:rStyle w:val="14"/>
                      <w:rFonts w:hint="eastAsia" w:ascii="宋体" w:hAnsi="宋体" w:eastAsia="宋体" w:cs="宋体"/>
                      <w:color w:val="0F1115"/>
                      <w:kern w:val="0"/>
                      <w:szCs w:val="21"/>
                      <w:lang w:bidi="ar"/>
                    </w:rPr>
                    <w:t>★系统基础运维与保障</w:t>
                  </w:r>
                </w:p>
              </w:tc>
              <w:tc>
                <w:tcPr>
                  <w:tcW w:w="7088" w:type="dxa"/>
                  <w:tcBorders>
                    <w:top w:val="single" w:color="000000" w:sz="4" w:space="0"/>
                    <w:left w:val="single" w:color="000000" w:sz="4" w:space="0"/>
                    <w:right w:val="single" w:color="000000" w:sz="4" w:space="0"/>
                  </w:tcBorders>
                  <w:vAlign w:val="center"/>
                </w:tcPr>
                <w:p w14:paraId="7AA882EA">
                  <w:pPr>
                    <w:widowControl/>
                    <w:spacing w:line="375" w:lineRule="atLeast"/>
                    <w:jc w:val="left"/>
                    <w:rPr>
                      <w:rFonts w:ascii="宋体" w:hAnsi="宋体" w:eastAsia="宋体" w:cs="宋体"/>
                      <w:color w:val="000000"/>
                      <w:szCs w:val="21"/>
                    </w:rPr>
                  </w:pPr>
                  <w:r>
                    <w:rPr>
                      <w:rStyle w:val="14"/>
                      <w:rFonts w:hint="eastAsia" w:ascii="宋体" w:hAnsi="宋体" w:eastAsia="宋体" w:cs="宋体"/>
                      <w:color w:val="0F1115"/>
                      <w:kern w:val="0"/>
                      <w:szCs w:val="21"/>
                      <w:lang w:bidi="ar"/>
                    </w:rPr>
                    <w:t>1.1 7×24小时服务台：</w:t>
                  </w:r>
                  <w:r>
                    <w:rPr>
                      <w:rFonts w:hint="eastAsia" w:ascii="宋体" w:hAnsi="宋体" w:eastAsia="宋体" w:cs="宋体"/>
                      <w:color w:val="0F1115"/>
                      <w:kern w:val="0"/>
                      <w:szCs w:val="21"/>
                      <w:lang w:bidi="ar"/>
                    </w:rPr>
                    <w:t>设立专属服务热线/微信工作群通道，提供一站式问题受理、跟踪与闭环管理。</w:t>
                  </w:r>
                  <w:r>
                    <w:rPr>
                      <w:rFonts w:hint="eastAsia" w:ascii="宋体" w:hAnsi="宋体" w:eastAsia="宋体" w:cs="宋体"/>
                      <w:color w:val="0F1115"/>
                      <w:kern w:val="0"/>
                      <w:szCs w:val="21"/>
                      <w:lang w:bidi="ar"/>
                    </w:rPr>
                    <w:br w:type="textWrapping"/>
                  </w:r>
                  <w:r>
                    <w:rPr>
                      <w:rStyle w:val="14"/>
                      <w:rFonts w:hint="eastAsia" w:ascii="宋体" w:hAnsi="宋体" w:eastAsia="宋体" w:cs="宋体"/>
                      <w:color w:val="0F1115"/>
                      <w:kern w:val="0"/>
                      <w:szCs w:val="21"/>
                      <w:lang w:bidi="ar"/>
                    </w:rPr>
                    <w:t>1.2 日常健康巡检：</w:t>
                  </w:r>
                  <w:r>
                    <w:rPr>
                      <w:rFonts w:hint="eastAsia" w:ascii="宋体" w:hAnsi="宋体" w:eastAsia="宋体" w:cs="宋体"/>
                      <w:color w:val="0F1115"/>
                      <w:kern w:val="0"/>
                      <w:szCs w:val="21"/>
                      <w:lang w:bidi="ar"/>
                    </w:rPr>
                    <w:t>对LIS系统核心服务进程、数据库连接状态、服务器关键性能指标（CPU、内存、磁盘空间）进行自动化监控与人工核查。</w:t>
                  </w:r>
                  <w:r>
                    <w:rPr>
                      <w:rFonts w:hint="eastAsia" w:ascii="宋体" w:hAnsi="宋体" w:eastAsia="宋体" w:cs="宋体"/>
                      <w:color w:val="0F1115"/>
                      <w:kern w:val="0"/>
                      <w:szCs w:val="21"/>
                      <w:lang w:bidi="ar"/>
                    </w:rPr>
                    <w:br w:type="textWrapping"/>
                  </w:r>
                  <w:r>
                    <w:rPr>
                      <w:rStyle w:val="14"/>
                      <w:rFonts w:hint="eastAsia" w:ascii="宋体" w:hAnsi="宋体" w:eastAsia="宋体" w:cs="宋体"/>
                      <w:color w:val="0F1115"/>
                      <w:kern w:val="0"/>
                      <w:szCs w:val="21"/>
                      <w:lang w:bidi="ar"/>
                    </w:rPr>
                    <w:t>1.3 故障应急响应：</w:t>
                  </w:r>
                  <w:r>
                    <w:rPr>
                      <w:rFonts w:hint="eastAsia" w:ascii="宋体" w:hAnsi="宋体" w:eastAsia="宋体" w:cs="宋体"/>
                      <w:color w:val="0F1115"/>
                      <w:kern w:val="0"/>
                      <w:szCs w:val="21"/>
                      <w:lang w:bidi="ar"/>
                    </w:rPr>
                    <w:t>严格遵循SLA（见下文第9条）进行分级响应与处理，确保系统高可用性。所有故障需有完整记录、根因分析及预防报告。</w:t>
                  </w:r>
                </w:p>
              </w:tc>
            </w:tr>
            <w:tr w14:paraId="7DB0055A">
              <w:tblPrEx>
                <w:tblCellMar>
                  <w:top w:w="0" w:type="dxa"/>
                  <w:left w:w="108" w:type="dxa"/>
                  <w:bottom w:w="0" w:type="dxa"/>
                  <w:right w:w="108" w:type="dxa"/>
                </w:tblCellMar>
              </w:tblPrEx>
              <w:trPr>
                <w:trHeight w:val="706"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501D2206">
                  <w:pPr>
                    <w:widowControl/>
                    <w:spacing w:line="375" w:lineRule="atLeast"/>
                    <w:jc w:val="left"/>
                    <w:rPr>
                      <w:rFonts w:ascii="宋体" w:hAnsi="宋体" w:eastAsia="宋体" w:cs="宋体"/>
                      <w:b/>
                      <w:bCs/>
                      <w:color w:val="000000"/>
                      <w:szCs w:val="21"/>
                    </w:rPr>
                  </w:pPr>
                  <w:r>
                    <w:rPr>
                      <w:rStyle w:val="14"/>
                      <w:rFonts w:hint="eastAsia" w:ascii="宋体" w:hAnsi="宋体" w:eastAsia="宋体" w:cs="宋体"/>
                      <w:color w:val="0F1115"/>
                      <w:kern w:val="0"/>
                      <w:szCs w:val="21"/>
                      <w:lang w:bidi="ar"/>
                    </w:rPr>
                    <w:t>2</w:t>
                  </w:r>
                </w:p>
              </w:tc>
              <w:tc>
                <w:tcPr>
                  <w:tcW w:w="1559" w:type="dxa"/>
                  <w:tcBorders>
                    <w:top w:val="single" w:color="000000" w:sz="4" w:space="0"/>
                    <w:left w:val="single" w:color="000000" w:sz="4" w:space="0"/>
                    <w:bottom w:val="single" w:color="000000" w:sz="4" w:space="0"/>
                    <w:right w:val="single" w:color="000000" w:sz="4" w:space="0"/>
                  </w:tcBorders>
                  <w:vAlign w:val="center"/>
                </w:tcPr>
                <w:p w14:paraId="08AF2809">
                  <w:pPr>
                    <w:widowControl/>
                    <w:spacing w:line="375" w:lineRule="atLeast"/>
                    <w:jc w:val="left"/>
                    <w:rPr>
                      <w:rFonts w:ascii="宋体" w:hAnsi="宋体" w:eastAsia="宋体" w:cs="宋体"/>
                      <w:b/>
                      <w:bCs/>
                      <w:color w:val="000000"/>
                      <w:szCs w:val="21"/>
                    </w:rPr>
                  </w:pPr>
                  <w:r>
                    <w:rPr>
                      <w:rStyle w:val="14"/>
                      <w:rFonts w:hint="eastAsia" w:ascii="宋体" w:hAnsi="宋体" w:eastAsia="宋体" w:cs="宋体"/>
                      <w:color w:val="0F1115"/>
                      <w:kern w:val="0"/>
                      <w:szCs w:val="21"/>
                      <w:lang w:bidi="ar"/>
                    </w:rPr>
                    <w:t>★核心业务模块支持</w:t>
                  </w:r>
                  <w:r>
                    <w:rPr>
                      <w:rFonts w:hint="eastAsia" w:ascii="宋体" w:hAnsi="宋体" w:eastAsia="宋体" w:cs="宋体"/>
                      <w:color w:val="0F1115"/>
                      <w:kern w:val="0"/>
                      <w:szCs w:val="21"/>
                      <w:lang w:bidi="ar"/>
                    </w:rPr>
                    <w:br w:type="textWrapping"/>
                  </w:r>
                  <w:r>
                    <w:rPr>
                      <w:rFonts w:hint="eastAsia" w:ascii="宋体" w:hAnsi="宋体" w:eastAsia="宋体" w:cs="宋体"/>
                      <w:color w:val="0F1115"/>
                      <w:kern w:val="0"/>
                      <w:szCs w:val="21"/>
                      <w:lang w:bidi="ar"/>
                    </w:rPr>
                    <w:t>（门诊/住院采样、科内工作、查询统计、质控）</w:t>
                  </w:r>
                </w:p>
              </w:tc>
              <w:tc>
                <w:tcPr>
                  <w:tcW w:w="7088" w:type="dxa"/>
                  <w:tcBorders>
                    <w:top w:val="single" w:color="000000" w:sz="4" w:space="0"/>
                    <w:left w:val="single" w:color="000000" w:sz="4" w:space="0"/>
                    <w:right w:val="single" w:color="000000" w:sz="4" w:space="0"/>
                  </w:tcBorders>
                  <w:vAlign w:val="center"/>
                </w:tcPr>
                <w:p w14:paraId="429F8B4E">
                  <w:pPr>
                    <w:widowControl/>
                    <w:spacing w:line="375" w:lineRule="atLeast"/>
                    <w:jc w:val="left"/>
                    <w:rPr>
                      <w:rFonts w:ascii="宋体" w:hAnsi="宋体" w:eastAsia="宋体" w:cs="宋体"/>
                      <w:color w:val="000000"/>
                      <w:szCs w:val="21"/>
                    </w:rPr>
                  </w:pPr>
                  <w:r>
                    <w:rPr>
                      <w:rStyle w:val="14"/>
                      <w:rFonts w:hint="eastAsia" w:ascii="宋体" w:hAnsi="宋体" w:eastAsia="宋体" w:cs="宋体"/>
                      <w:color w:val="0F1115"/>
                      <w:kern w:val="0"/>
                      <w:szCs w:val="21"/>
                      <w:lang w:bidi="ar"/>
                    </w:rPr>
                    <w:t>2.1 模块功能保障：</w:t>
                  </w:r>
                  <w:r>
                    <w:rPr>
                      <w:rFonts w:hint="eastAsia" w:ascii="宋体" w:hAnsi="宋体" w:eastAsia="宋体" w:cs="宋体"/>
                      <w:color w:val="0F1115"/>
                      <w:kern w:val="0"/>
                      <w:szCs w:val="21"/>
                      <w:lang w:bidi="ar"/>
                    </w:rPr>
                    <w:t>确保各业务模块（如条码打印、标本签收、结果录入、审核发布、报告查询、质控等）功能完整、流程顺畅、性能达标。</w:t>
                  </w:r>
                  <w:r>
                    <w:rPr>
                      <w:rFonts w:hint="eastAsia" w:ascii="宋体" w:hAnsi="宋体" w:eastAsia="宋体" w:cs="宋体"/>
                      <w:color w:val="0F1115"/>
                      <w:kern w:val="0"/>
                      <w:szCs w:val="21"/>
                      <w:lang w:bidi="ar"/>
                    </w:rPr>
                    <w:br w:type="textWrapping"/>
                  </w:r>
                  <w:r>
                    <w:rPr>
                      <w:rStyle w:val="14"/>
                      <w:rFonts w:hint="eastAsia" w:ascii="宋体" w:hAnsi="宋体" w:eastAsia="宋体" w:cs="宋体"/>
                      <w:color w:val="0F1115"/>
                      <w:kern w:val="0"/>
                      <w:szCs w:val="21"/>
                      <w:lang w:bidi="ar"/>
                    </w:rPr>
                    <w:t>2.2 业务流程优化：</w:t>
                  </w:r>
                  <w:r>
                    <w:rPr>
                      <w:rFonts w:hint="eastAsia" w:ascii="宋体" w:hAnsi="宋体" w:eastAsia="宋体" w:cs="宋体"/>
                      <w:color w:val="0F1115"/>
                      <w:kern w:val="0"/>
                      <w:szCs w:val="21"/>
                      <w:lang w:bidi="ar"/>
                    </w:rPr>
                    <w:t>结合用户反馈，对现有操作流程进行微调与优化（如界面字段调整、快捷操作设置），提升工作效率。</w:t>
                  </w:r>
                  <w:r>
                    <w:rPr>
                      <w:rFonts w:hint="eastAsia" w:ascii="宋体" w:hAnsi="宋体" w:eastAsia="宋体" w:cs="宋体"/>
                      <w:color w:val="0F1115"/>
                      <w:kern w:val="0"/>
                      <w:szCs w:val="21"/>
                      <w:lang w:bidi="ar"/>
                    </w:rPr>
                    <w:br w:type="textWrapping"/>
                  </w:r>
                  <w:r>
                    <w:rPr>
                      <w:rStyle w:val="14"/>
                      <w:rFonts w:hint="eastAsia" w:ascii="宋体" w:hAnsi="宋体" w:eastAsia="宋体" w:cs="宋体"/>
                      <w:color w:val="0F1115"/>
                      <w:kern w:val="0"/>
                      <w:szCs w:val="21"/>
                      <w:lang w:bidi="ar"/>
                    </w:rPr>
                    <w:t>2.3 用户培训与支持：</w:t>
                  </w:r>
                  <w:r>
                    <w:rPr>
                      <w:rFonts w:hint="eastAsia" w:ascii="宋体" w:hAnsi="宋体" w:eastAsia="宋体" w:cs="宋体"/>
                      <w:color w:val="0F1115"/>
                      <w:kern w:val="0"/>
                      <w:szCs w:val="21"/>
                      <w:lang w:bidi="ar"/>
                    </w:rPr>
                    <w:t>根据用户需要安排系统培训；随时响应用户操作咨询，提供远程指导。</w:t>
                  </w:r>
                </w:p>
              </w:tc>
            </w:tr>
            <w:tr w14:paraId="21186983">
              <w:tblPrEx>
                <w:tblCellMar>
                  <w:top w:w="0" w:type="dxa"/>
                  <w:left w:w="108" w:type="dxa"/>
                  <w:bottom w:w="0" w:type="dxa"/>
                  <w:right w:w="108" w:type="dxa"/>
                </w:tblCellMar>
              </w:tblPrEx>
              <w:trPr>
                <w:trHeight w:val="688" w:hRule="atLeast"/>
              </w:trPr>
              <w:tc>
                <w:tcPr>
                  <w:tcW w:w="678" w:type="dxa"/>
                  <w:tcBorders>
                    <w:top w:val="single" w:color="000000" w:sz="4" w:space="0"/>
                    <w:left w:val="single" w:color="000000" w:sz="4" w:space="0"/>
                    <w:bottom w:val="single" w:color="auto" w:sz="4" w:space="0"/>
                    <w:right w:val="single" w:color="000000" w:sz="4" w:space="0"/>
                  </w:tcBorders>
                  <w:vAlign w:val="center"/>
                </w:tcPr>
                <w:p w14:paraId="64CA3B9D">
                  <w:pPr>
                    <w:widowControl/>
                    <w:spacing w:line="375" w:lineRule="atLeast"/>
                    <w:jc w:val="left"/>
                    <w:rPr>
                      <w:rFonts w:ascii="宋体" w:hAnsi="宋体" w:eastAsia="宋体" w:cs="宋体"/>
                      <w:b/>
                      <w:bCs/>
                      <w:color w:val="000000"/>
                      <w:szCs w:val="21"/>
                    </w:rPr>
                  </w:pPr>
                  <w:r>
                    <w:rPr>
                      <w:rStyle w:val="14"/>
                      <w:rFonts w:hint="eastAsia" w:ascii="宋体" w:hAnsi="宋体" w:eastAsia="宋体" w:cs="宋体"/>
                      <w:color w:val="0F1115"/>
                      <w:kern w:val="0"/>
                      <w:szCs w:val="21"/>
                      <w:lang w:bidi="ar"/>
                    </w:rPr>
                    <w:t>3</w:t>
                  </w:r>
                </w:p>
              </w:tc>
              <w:tc>
                <w:tcPr>
                  <w:tcW w:w="1559" w:type="dxa"/>
                  <w:tcBorders>
                    <w:top w:val="single" w:color="000000" w:sz="4" w:space="0"/>
                    <w:left w:val="single" w:color="000000" w:sz="4" w:space="0"/>
                    <w:bottom w:val="single" w:color="auto" w:sz="4" w:space="0"/>
                    <w:right w:val="single" w:color="000000" w:sz="4" w:space="0"/>
                  </w:tcBorders>
                  <w:vAlign w:val="center"/>
                </w:tcPr>
                <w:p w14:paraId="3D5DE1DC">
                  <w:pPr>
                    <w:widowControl/>
                    <w:spacing w:line="375" w:lineRule="atLeast"/>
                    <w:jc w:val="left"/>
                    <w:rPr>
                      <w:rFonts w:ascii="宋体" w:hAnsi="宋体" w:eastAsia="宋体" w:cs="宋体"/>
                      <w:b/>
                      <w:bCs/>
                      <w:color w:val="000000"/>
                      <w:szCs w:val="21"/>
                    </w:rPr>
                  </w:pPr>
                  <w:r>
                    <w:rPr>
                      <w:rStyle w:val="14"/>
                      <w:rFonts w:hint="eastAsia" w:ascii="宋体" w:hAnsi="宋体" w:eastAsia="宋体" w:cs="宋体"/>
                      <w:color w:val="0F1115"/>
                      <w:kern w:val="0"/>
                      <w:szCs w:val="21"/>
                      <w:lang w:bidi="ar"/>
                    </w:rPr>
                    <w:t>接口与数据服务</w:t>
                  </w:r>
                  <w:r>
                    <w:rPr>
                      <w:rFonts w:hint="eastAsia" w:ascii="宋体" w:hAnsi="宋体" w:eastAsia="宋体" w:cs="宋体"/>
                      <w:color w:val="0F1115"/>
                      <w:kern w:val="0"/>
                      <w:szCs w:val="21"/>
                      <w:lang w:bidi="ar"/>
                    </w:rPr>
                    <w:br w:type="textWrapping"/>
                  </w:r>
                  <w:r>
                    <w:rPr>
                      <w:rFonts w:hint="eastAsia" w:ascii="宋体" w:hAnsi="宋体" w:eastAsia="宋体" w:cs="宋体"/>
                      <w:color w:val="0F1115"/>
                      <w:kern w:val="0"/>
                      <w:szCs w:val="21"/>
                      <w:lang w:bidi="ar"/>
                    </w:rPr>
                    <w:t>（HIS/平台接口、数据上报）</w:t>
                  </w:r>
                </w:p>
              </w:tc>
              <w:tc>
                <w:tcPr>
                  <w:tcW w:w="7088" w:type="dxa"/>
                  <w:tcBorders>
                    <w:top w:val="single" w:color="000000" w:sz="4" w:space="0"/>
                    <w:left w:val="single" w:color="000000" w:sz="4" w:space="0"/>
                    <w:bottom w:val="single" w:color="auto" w:sz="4" w:space="0"/>
                    <w:right w:val="single" w:color="000000" w:sz="4" w:space="0"/>
                  </w:tcBorders>
                  <w:vAlign w:val="center"/>
                </w:tcPr>
                <w:p w14:paraId="55AE7702">
                  <w:pPr>
                    <w:widowControl/>
                    <w:spacing w:line="375" w:lineRule="atLeast"/>
                    <w:jc w:val="left"/>
                    <w:rPr>
                      <w:rFonts w:ascii="宋体" w:hAnsi="宋体" w:eastAsia="宋体" w:cs="宋体"/>
                      <w:color w:val="000000"/>
                      <w:szCs w:val="21"/>
                    </w:rPr>
                  </w:pPr>
                  <w:r>
                    <w:rPr>
                      <w:rStyle w:val="14"/>
                      <w:rFonts w:hint="eastAsia" w:ascii="宋体" w:hAnsi="宋体" w:eastAsia="宋体" w:cs="宋体"/>
                      <w:color w:val="0F1115"/>
                      <w:kern w:val="0"/>
                      <w:szCs w:val="21"/>
                      <w:lang w:bidi="ar"/>
                    </w:rPr>
                    <w:t>★3.1 接口稳定性监控：</w:t>
                  </w:r>
                  <w:r>
                    <w:rPr>
                      <w:rFonts w:hint="eastAsia" w:ascii="宋体" w:hAnsi="宋体" w:eastAsia="宋体" w:cs="宋体"/>
                      <w:color w:val="0F1115"/>
                      <w:kern w:val="0"/>
                      <w:szCs w:val="21"/>
                      <w:lang w:bidi="ar"/>
                    </w:rPr>
                    <w:t>对LIS与HIS、省市级监管平台等所有在用接口进行实时监控，确保患者信息、医嘱、检验结果、费用等数据的双向同步稳定、准确、无丢失。</w:t>
                  </w:r>
                  <w:r>
                    <w:rPr>
                      <w:rFonts w:hint="eastAsia" w:ascii="宋体" w:hAnsi="宋体" w:eastAsia="宋体" w:cs="宋体"/>
                      <w:color w:val="0F1115"/>
                      <w:kern w:val="0"/>
                      <w:szCs w:val="21"/>
                      <w:lang w:bidi="ar"/>
                    </w:rPr>
                    <w:br w:type="textWrapping"/>
                  </w:r>
                  <w:r>
                    <w:rPr>
                      <w:rStyle w:val="14"/>
                      <w:rFonts w:hint="eastAsia" w:ascii="宋体" w:hAnsi="宋体" w:eastAsia="宋体" w:cs="宋体"/>
                      <w:color w:val="0F1115"/>
                      <w:kern w:val="0"/>
                      <w:szCs w:val="21"/>
                      <w:lang w:bidi="ar"/>
                    </w:rPr>
                    <w:t>★3.2 数据质量管理：</w:t>
                  </w:r>
                  <w:r>
                    <w:rPr>
                      <w:rFonts w:hint="eastAsia" w:ascii="宋体" w:hAnsi="宋体" w:eastAsia="宋体" w:cs="宋体"/>
                      <w:color w:val="0F1115"/>
                      <w:kern w:val="0"/>
                      <w:szCs w:val="21"/>
                      <w:lang w:bidi="ar"/>
                    </w:rPr>
                    <w:t>定期核查接口交互日志，对数据不一致、同步失败等情况进行人工干预与修复，并向院方提供数据质量报告。</w:t>
                  </w:r>
                  <w:r>
                    <w:rPr>
                      <w:rFonts w:hint="eastAsia" w:ascii="宋体" w:hAnsi="宋体" w:eastAsia="宋体" w:cs="宋体"/>
                      <w:color w:val="0F1115"/>
                      <w:kern w:val="0"/>
                      <w:szCs w:val="21"/>
                      <w:lang w:bidi="ar"/>
                    </w:rPr>
                    <w:br w:type="textWrapping"/>
                  </w:r>
                  <w:r>
                    <w:rPr>
                      <w:rStyle w:val="14"/>
                      <w:rFonts w:hint="eastAsia" w:ascii="宋体" w:hAnsi="宋体" w:eastAsia="宋体" w:cs="宋体"/>
                      <w:color w:val="0F1115"/>
                      <w:kern w:val="0"/>
                      <w:szCs w:val="21"/>
                      <w:lang w:bidi="ar"/>
                    </w:rPr>
                    <w:t>3.3 上报服务维护：</w:t>
                  </w:r>
                  <w:r>
                    <w:rPr>
                      <w:rStyle w:val="14"/>
                      <w:rFonts w:hint="eastAsia" w:ascii="宋体" w:hAnsi="宋体" w:eastAsia="宋体" w:cs="宋体"/>
                      <w:b w:val="0"/>
                      <w:bCs w:val="0"/>
                      <w:color w:val="0F1115"/>
                      <w:kern w:val="0"/>
                      <w:szCs w:val="21"/>
                      <w:lang w:bidi="ar"/>
                    </w:rPr>
                    <w:t>保障检验报告</w:t>
                  </w:r>
                  <w:r>
                    <w:rPr>
                      <w:rFonts w:hint="eastAsia" w:ascii="宋体" w:hAnsi="宋体" w:eastAsia="宋体" w:cs="宋体"/>
                      <w:color w:val="0F1115"/>
                      <w:kern w:val="0"/>
                      <w:szCs w:val="21"/>
                      <w:lang w:bidi="ar"/>
                    </w:rPr>
                    <w:t>、传染病等数据自动上报服务的正常运行，及时响应上报平台规则变更，调整上报程序。</w:t>
                  </w:r>
                </w:p>
              </w:tc>
            </w:tr>
            <w:tr w14:paraId="45B67A31">
              <w:tblPrEx>
                <w:tblCellMar>
                  <w:top w:w="0" w:type="dxa"/>
                  <w:left w:w="108" w:type="dxa"/>
                  <w:bottom w:w="0" w:type="dxa"/>
                  <w:right w:w="108" w:type="dxa"/>
                </w:tblCellMar>
              </w:tblPrEx>
              <w:trPr>
                <w:trHeight w:val="698" w:hRule="atLeast"/>
              </w:trPr>
              <w:tc>
                <w:tcPr>
                  <w:tcW w:w="678" w:type="dxa"/>
                  <w:tcBorders>
                    <w:top w:val="single" w:color="auto" w:sz="4" w:space="0"/>
                    <w:left w:val="single" w:color="auto" w:sz="4" w:space="0"/>
                    <w:bottom w:val="single" w:color="auto" w:sz="4" w:space="0"/>
                    <w:right w:val="single" w:color="auto" w:sz="4" w:space="0"/>
                  </w:tcBorders>
                  <w:vAlign w:val="center"/>
                </w:tcPr>
                <w:p w14:paraId="40947BA4">
                  <w:pPr>
                    <w:widowControl/>
                    <w:spacing w:line="375" w:lineRule="atLeast"/>
                    <w:jc w:val="left"/>
                    <w:rPr>
                      <w:rFonts w:ascii="宋体" w:hAnsi="宋体" w:eastAsia="宋体" w:cs="宋体"/>
                      <w:b/>
                      <w:bCs/>
                      <w:color w:val="000000"/>
                      <w:kern w:val="0"/>
                      <w:szCs w:val="21"/>
                      <w:lang w:bidi="ar"/>
                    </w:rPr>
                  </w:pPr>
                  <w:r>
                    <w:rPr>
                      <w:rStyle w:val="14"/>
                      <w:rFonts w:hint="eastAsia" w:ascii="宋体" w:hAnsi="宋体" w:eastAsia="宋体" w:cs="宋体"/>
                      <w:color w:val="0F1115"/>
                      <w:kern w:val="0"/>
                      <w:szCs w:val="21"/>
                      <w:lang w:bidi="ar"/>
                    </w:rPr>
                    <w:t>4</w:t>
                  </w:r>
                </w:p>
              </w:tc>
              <w:tc>
                <w:tcPr>
                  <w:tcW w:w="1559" w:type="dxa"/>
                  <w:tcBorders>
                    <w:top w:val="single" w:color="auto" w:sz="4" w:space="0"/>
                    <w:left w:val="single" w:color="auto" w:sz="4" w:space="0"/>
                    <w:bottom w:val="single" w:color="auto" w:sz="4" w:space="0"/>
                    <w:right w:val="single" w:color="auto" w:sz="4" w:space="0"/>
                  </w:tcBorders>
                  <w:vAlign w:val="center"/>
                </w:tcPr>
                <w:p w14:paraId="1B580D22">
                  <w:pPr>
                    <w:widowControl/>
                    <w:spacing w:line="375" w:lineRule="atLeast"/>
                    <w:jc w:val="left"/>
                    <w:rPr>
                      <w:rFonts w:ascii="宋体" w:hAnsi="宋体" w:eastAsia="宋体" w:cs="宋体"/>
                      <w:b/>
                      <w:bCs/>
                      <w:color w:val="000000"/>
                      <w:kern w:val="0"/>
                      <w:szCs w:val="21"/>
                      <w:lang w:bidi="ar"/>
                    </w:rPr>
                  </w:pPr>
                  <w:r>
                    <w:rPr>
                      <w:rStyle w:val="14"/>
                      <w:rFonts w:hint="eastAsia" w:ascii="宋体" w:hAnsi="宋体" w:eastAsia="宋体" w:cs="宋体"/>
                      <w:color w:val="0F1115"/>
                      <w:kern w:val="0"/>
                      <w:szCs w:val="21"/>
                      <w:lang w:bidi="ar"/>
                    </w:rPr>
                    <w:t>服务器与基础设施巡检</w:t>
                  </w:r>
                </w:p>
              </w:tc>
              <w:tc>
                <w:tcPr>
                  <w:tcW w:w="7088" w:type="dxa"/>
                  <w:tcBorders>
                    <w:top w:val="single" w:color="auto" w:sz="4" w:space="0"/>
                    <w:left w:val="single" w:color="auto" w:sz="4" w:space="0"/>
                    <w:right w:val="single" w:color="auto" w:sz="4" w:space="0"/>
                  </w:tcBorders>
                  <w:vAlign w:val="center"/>
                </w:tcPr>
                <w:p w14:paraId="1BFCA0EE">
                  <w:pPr>
                    <w:widowControl/>
                    <w:spacing w:line="375" w:lineRule="atLeast"/>
                    <w:jc w:val="left"/>
                    <w:rPr>
                      <w:rFonts w:ascii="宋体" w:hAnsi="宋体" w:eastAsia="宋体" w:cs="宋体"/>
                      <w:color w:val="000000"/>
                      <w:kern w:val="0"/>
                      <w:szCs w:val="21"/>
                      <w:lang w:bidi="ar"/>
                    </w:rPr>
                  </w:pPr>
                  <w:r>
                    <w:rPr>
                      <w:rStyle w:val="14"/>
                      <w:rFonts w:hint="eastAsia" w:ascii="宋体" w:hAnsi="宋体" w:eastAsia="宋体" w:cs="宋体"/>
                      <w:color w:val="0F1115"/>
                      <w:kern w:val="0"/>
                      <w:szCs w:val="21"/>
                      <w:lang w:bidi="ar"/>
                    </w:rPr>
                    <w:t>4.1 深度巡检服务：</w:t>
                  </w:r>
                  <w:r>
                    <w:rPr>
                      <w:rFonts w:hint="eastAsia" w:ascii="宋体" w:hAnsi="宋体" w:eastAsia="宋体" w:cs="宋体"/>
                      <w:color w:val="0F1115"/>
                      <w:kern w:val="0"/>
                      <w:szCs w:val="21"/>
                      <w:lang w:bidi="ar"/>
                    </w:rPr>
                    <w:t>每季度提供一次现场或远程深度巡检，内容涵盖：操作系统补丁与漏洞、数据库性能优化（索引、慢查询分析）、存储空间规划、网络配置及安全基线符合性检查，并提交详细巡检报告与优化建议。</w:t>
                  </w:r>
                  <w:r>
                    <w:rPr>
                      <w:rFonts w:hint="eastAsia" w:ascii="宋体" w:hAnsi="宋体" w:eastAsia="宋体" w:cs="宋体"/>
                      <w:color w:val="0F1115"/>
                      <w:kern w:val="0"/>
                      <w:szCs w:val="21"/>
                      <w:lang w:bidi="ar"/>
                    </w:rPr>
                    <w:br w:type="textWrapping"/>
                  </w:r>
                  <w:r>
                    <w:rPr>
                      <w:rStyle w:val="14"/>
                      <w:rFonts w:hint="eastAsia" w:ascii="宋体" w:hAnsi="宋体" w:eastAsia="宋体" w:cs="宋体"/>
                      <w:color w:val="0F1115"/>
                      <w:kern w:val="0"/>
                      <w:szCs w:val="21"/>
                      <w:lang w:bidi="ar"/>
                    </w:rPr>
                    <w:t>4.2 备份与恢复验证：</w:t>
                  </w:r>
                  <w:r>
                    <w:rPr>
                      <w:rFonts w:hint="eastAsia" w:ascii="宋体" w:hAnsi="宋体" w:eastAsia="宋体" w:cs="宋体"/>
                      <w:color w:val="0F1115"/>
                      <w:kern w:val="0"/>
                      <w:szCs w:val="21"/>
                      <w:lang w:bidi="ar"/>
                    </w:rPr>
                    <w:t>协助采购方制定并执行数据库与应用数据的备份策略。每季度执行一次备份数据的有效性恢复测试，确保灾备方案可靠，并提交测试报告。</w:t>
                  </w:r>
                </w:p>
              </w:tc>
            </w:tr>
            <w:tr w14:paraId="61929F2F">
              <w:tblPrEx>
                <w:tblCellMar>
                  <w:top w:w="0" w:type="dxa"/>
                  <w:left w:w="108" w:type="dxa"/>
                  <w:bottom w:w="0" w:type="dxa"/>
                  <w:right w:w="108" w:type="dxa"/>
                </w:tblCellMar>
              </w:tblPrEx>
              <w:trPr>
                <w:trHeight w:val="507" w:hRule="atLeast"/>
              </w:trPr>
              <w:tc>
                <w:tcPr>
                  <w:tcW w:w="678" w:type="dxa"/>
                  <w:tcBorders>
                    <w:top w:val="single" w:color="auto" w:sz="4" w:space="0"/>
                    <w:left w:val="single" w:color="000000" w:sz="4" w:space="0"/>
                    <w:bottom w:val="single" w:color="auto" w:sz="4" w:space="0"/>
                    <w:right w:val="single" w:color="000000" w:sz="4" w:space="0"/>
                  </w:tcBorders>
                  <w:vAlign w:val="center"/>
                </w:tcPr>
                <w:p w14:paraId="047A7854">
                  <w:pPr>
                    <w:widowControl/>
                    <w:spacing w:line="375" w:lineRule="atLeast"/>
                    <w:jc w:val="left"/>
                    <w:rPr>
                      <w:rFonts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5</w:t>
                  </w:r>
                </w:p>
              </w:tc>
              <w:tc>
                <w:tcPr>
                  <w:tcW w:w="1559" w:type="dxa"/>
                  <w:tcBorders>
                    <w:top w:val="single" w:color="auto" w:sz="4" w:space="0"/>
                    <w:left w:val="single" w:color="000000" w:sz="4" w:space="0"/>
                    <w:bottom w:val="single" w:color="auto" w:sz="4" w:space="0"/>
                    <w:right w:val="single" w:color="000000" w:sz="4" w:space="0"/>
                  </w:tcBorders>
                  <w:vAlign w:val="center"/>
                </w:tcPr>
                <w:p w14:paraId="6966EFC7">
                  <w:pPr>
                    <w:widowControl/>
                    <w:spacing w:line="375" w:lineRule="atLeast"/>
                    <w:jc w:val="left"/>
                    <w:rPr>
                      <w:rFonts w:ascii="宋体" w:hAnsi="宋体" w:eastAsia="宋体" w:cs="宋体"/>
                      <w:b/>
                      <w:bCs/>
                      <w:color w:val="000000"/>
                      <w:kern w:val="0"/>
                      <w:szCs w:val="21"/>
                      <w:lang w:bidi="ar"/>
                    </w:rPr>
                  </w:pPr>
                  <w:r>
                    <w:rPr>
                      <w:rStyle w:val="14"/>
                      <w:rFonts w:hint="eastAsia" w:ascii="宋体" w:hAnsi="宋体" w:eastAsia="宋体" w:cs="宋体"/>
                      <w:color w:val="0F1115"/>
                      <w:kern w:val="0"/>
                      <w:szCs w:val="21"/>
                      <w:lang w:bidi="ar"/>
                    </w:rPr>
                    <w:t>文档与知识管理</w:t>
                  </w:r>
                </w:p>
              </w:tc>
              <w:tc>
                <w:tcPr>
                  <w:tcW w:w="7088" w:type="dxa"/>
                  <w:tcBorders>
                    <w:top w:val="single" w:color="auto" w:sz="4" w:space="0"/>
                    <w:left w:val="single" w:color="000000" w:sz="4" w:space="0"/>
                    <w:bottom w:val="single" w:color="auto" w:sz="4" w:space="0"/>
                    <w:right w:val="single" w:color="000000" w:sz="4" w:space="0"/>
                  </w:tcBorders>
                  <w:vAlign w:val="center"/>
                </w:tcPr>
                <w:p w14:paraId="2D098727">
                  <w:pPr>
                    <w:widowControl/>
                    <w:spacing w:line="375" w:lineRule="atLeast"/>
                    <w:jc w:val="left"/>
                    <w:rPr>
                      <w:rFonts w:ascii="宋体" w:hAnsi="宋体" w:eastAsia="宋体" w:cs="宋体"/>
                      <w:color w:val="000000"/>
                      <w:kern w:val="0"/>
                      <w:szCs w:val="21"/>
                      <w:lang w:bidi="ar"/>
                    </w:rPr>
                  </w:pPr>
                  <w:r>
                    <w:rPr>
                      <w:rStyle w:val="14"/>
                      <w:rFonts w:hint="eastAsia" w:ascii="宋体" w:hAnsi="宋体" w:eastAsia="宋体" w:cs="宋体"/>
                      <w:color w:val="0F1115"/>
                      <w:kern w:val="0"/>
                      <w:szCs w:val="21"/>
                      <w:lang w:bidi="ar"/>
                    </w:rPr>
                    <w:t>5.1 文档维护：</w:t>
                  </w:r>
                  <w:r>
                    <w:rPr>
                      <w:rFonts w:hint="eastAsia" w:ascii="宋体" w:hAnsi="宋体" w:eastAsia="宋体" w:cs="宋体"/>
                      <w:color w:val="0F1115"/>
                      <w:kern w:val="0"/>
                      <w:szCs w:val="21"/>
                      <w:lang w:bidi="ar"/>
                    </w:rPr>
                    <w:t>在服务期内，持续更新《LIS系统运维手册》、《接口文档》等运维和技术文档。</w:t>
                  </w:r>
                  <w:r>
                    <w:rPr>
                      <w:rFonts w:hint="eastAsia" w:ascii="宋体" w:hAnsi="宋体" w:eastAsia="宋体" w:cs="宋体"/>
                      <w:color w:val="0F1115"/>
                      <w:kern w:val="0"/>
                      <w:szCs w:val="21"/>
                      <w:lang w:bidi="ar"/>
                    </w:rPr>
                    <w:br w:type="textWrapping"/>
                  </w:r>
                  <w:r>
                    <w:rPr>
                      <w:rFonts w:hint="eastAsia" w:ascii="宋体" w:hAnsi="宋体" w:eastAsia="宋体" w:cs="宋体"/>
                      <w:color w:val="0F1115"/>
                      <w:kern w:val="0"/>
                      <w:szCs w:val="21"/>
                      <w:lang w:bidi="ar"/>
                    </w:rPr>
                    <w:t>5</w:t>
                  </w:r>
                  <w:r>
                    <w:rPr>
                      <w:rStyle w:val="14"/>
                      <w:rFonts w:hint="eastAsia" w:ascii="宋体" w:hAnsi="宋体" w:eastAsia="宋体" w:cs="宋体"/>
                      <w:color w:val="0F1115"/>
                      <w:kern w:val="0"/>
                      <w:szCs w:val="21"/>
                      <w:lang w:bidi="ar"/>
                    </w:rPr>
                    <w:t>.2 知识转移：</w:t>
                  </w:r>
                  <w:r>
                    <w:rPr>
                      <w:rFonts w:hint="eastAsia" w:ascii="宋体" w:hAnsi="宋体" w:eastAsia="宋体" w:cs="宋体"/>
                      <w:color w:val="0F1115"/>
                      <w:kern w:val="0"/>
                      <w:szCs w:val="21"/>
                      <w:lang w:bidi="ar"/>
                    </w:rPr>
                    <w:t>服务期满前，为采购方信息科相关人员进行一次全面的系统架构、日常运维及常见故障处理的知识转移培训，并移交所有运维文档。</w:t>
                  </w:r>
                </w:p>
              </w:tc>
            </w:tr>
          </w:tbl>
          <w:p w14:paraId="42A04736">
            <w:pPr>
              <w:pStyle w:val="5"/>
              <w:rPr>
                <w:rFonts w:ascii="宋体" w:hAnsi="宋体" w:eastAsia="宋体" w:cs="宋体"/>
                <w:szCs w:val="21"/>
              </w:rPr>
            </w:pPr>
          </w:p>
        </w:tc>
      </w:tr>
      <w:bookmarkEnd w:id="2"/>
      <w:tr w14:paraId="0AF7E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69ACA766">
            <w:pPr>
              <w:rPr>
                <w:rFonts w:ascii="宋体" w:hAnsi="宋体" w:eastAsia="宋体" w:cs="宋体"/>
                <w:szCs w:val="21"/>
              </w:rPr>
            </w:pPr>
            <w:r>
              <w:rPr>
                <w:rFonts w:hint="eastAsia" w:ascii="宋体" w:hAnsi="宋体" w:eastAsia="宋体" w:cs="宋体"/>
                <w:szCs w:val="21"/>
              </w:rPr>
              <w:t>服务要求</w:t>
            </w:r>
          </w:p>
        </w:tc>
        <w:tc>
          <w:tcPr>
            <w:tcW w:w="9427" w:type="dxa"/>
            <w:gridSpan w:val="3"/>
            <w:vAlign w:val="center"/>
          </w:tcPr>
          <w:p w14:paraId="060943D0">
            <w:pPr>
              <w:rPr>
                <w:rFonts w:ascii="宋体" w:hAnsi="宋体" w:eastAsia="宋体" w:cs="宋体"/>
                <w:szCs w:val="21"/>
              </w:rPr>
            </w:pPr>
            <w:r>
              <w:rPr>
                <w:rFonts w:hint="eastAsia" w:ascii="宋体" w:hAnsi="宋体" w:eastAsia="宋体" w:cs="宋体"/>
                <w:szCs w:val="21"/>
              </w:rPr>
              <w:t>服务要求：</w:t>
            </w:r>
          </w:p>
          <w:p w14:paraId="78D03118">
            <w:pPr>
              <w:pStyle w:val="22"/>
              <w:numPr>
                <w:ilvl w:val="0"/>
                <w:numId w:val="2"/>
              </w:numPr>
              <w:ind w:firstLineChars="0"/>
              <w:rPr>
                <w:rFonts w:ascii="宋体" w:hAnsi="宋体" w:eastAsia="宋体" w:cs="宋体"/>
                <w:szCs w:val="21"/>
              </w:rPr>
            </w:pPr>
            <w:r>
              <w:rPr>
                <w:rFonts w:hint="eastAsia" w:ascii="宋体" w:hAnsi="宋体" w:eastAsia="宋体" w:cs="宋体"/>
                <w:szCs w:val="21"/>
              </w:rPr>
              <w:t>报价方应指派不少于1名专业技术人员负责本项目的运维服务，需提供7×24小时不间断响应服务。采购方可通过电话、微信或系统工单等指定渠道提出服务需求或问题报修。报价方应在接到通知后1小时内通过指定渠道予以响应，并指派工程师开始问题分析与处理。若问题无法远程解决，技术支持人员须在4小时内抵达采购方现场进行处理。每次服务完成后，须经采购方签字确认方可视为工单关闭。</w:t>
            </w:r>
          </w:p>
          <w:p w14:paraId="116154AA">
            <w:pPr>
              <w:pStyle w:val="22"/>
              <w:numPr>
                <w:ilvl w:val="0"/>
                <w:numId w:val="2"/>
              </w:numPr>
              <w:ind w:firstLineChars="0"/>
              <w:rPr>
                <w:rFonts w:ascii="宋体" w:hAnsi="宋体" w:eastAsia="宋体" w:cs="宋体"/>
                <w:szCs w:val="21"/>
              </w:rPr>
            </w:pPr>
            <w:r>
              <w:rPr>
                <w:rFonts w:hint="eastAsia" w:ascii="宋体" w:hAnsi="宋体" w:eastAsia="宋体" w:cs="宋体"/>
                <w:szCs w:val="21"/>
              </w:rPr>
              <w:t>报价方必须完整持有该系统的源代码及全部技术文档（包括但不限于数据库表结构、数据关联逻辑与系统整体架构），以确保能够迅速定位数据异常、性能瓶颈等各类问题，同时具备系统底层问题排查及后续二次需求开发的能力。</w:t>
            </w:r>
          </w:p>
          <w:p w14:paraId="76A8A25F">
            <w:pPr>
              <w:pStyle w:val="22"/>
              <w:numPr>
                <w:ilvl w:val="0"/>
                <w:numId w:val="2"/>
              </w:numPr>
              <w:ind w:firstLineChars="0"/>
              <w:rPr>
                <w:rFonts w:ascii="宋体" w:hAnsi="宋体" w:eastAsia="宋体" w:cs="宋体"/>
                <w:szCs w:val="21"/>
              </w:rPr>
            </w:pPr>
            <w:r>
              <w:rPr>
                <w:rFonts w:hint="eastAsia" w:ascii="宋体" w:hAnsi="宋体" w:eastAsia="宋体" w:cs="宋体"/>
                <w:szCs w:val="21"/>
              </w:rPr>
              <w:t>报价方应能够根据采购方提出的合理业务需求，提供包括功能优化、接口拓展等在内的定制化开发服务。</w:t>
            </w:r>
          </w:p>
          <w:p w14:paraId="0F77B515">
            <w:pPr>
              <w:pStyle w:val="22"/>
              <w:numPr>
                <w:ilvl w:val="0"/>
                <w:numId w:val="2"/>
              </w:numPr>
              <w:ind w:firstLineChars="0"/>
              <w:rPr>
                <w:rFonts w:ascii="宋体" w:hAnsi="宋体" w:eastAsia="宋体" w:cs="宋体"/>
                <w:szCs w:val="21"/>
              </w:rPr>
            </w:pPr>
            <w:r>
              <w:rPr>
                <w:rFonts w:hint="eastAsia" w:ascii="宋体" w:hAnsi="宋体" w:eastAsia="宋体" w:cs="宋体"/>
                <w:szCs w:val="21"/>
              </w:rPr>
              <w:t>在运维服务期内，对“服务清单及要求”所列的所有系统及服务内容，经采购方评估单项运维或开发需求工作量在10个工作日（含）内可完成的，报价方不得另行收取费用；经采购方评估单项运维或开发需求工作量超10个工作日，双方友好协商确定费用，并按照采购方相关采购流程执行后方可实施。对于因采购方业务发展需要的新系统对接、新增接口开发等需求，其工作量评估与费用计算标准应在合同附件中明确。报价方应在报价文件中提供标准化的开发人天单价，作为后续议价的依据。</w:t>
            </w:r>
          </w:p>
          <w:p w14:paraId="6592DC18">
            <w:pPr>
              <w:pStyle w:val="22"/>
              <w:numPr>
                <w:ilvl w:val="0"/>
                <w:numId w:val="2"/>
              </w:numPr>
              <w:ind w:firstLineChars="0"/>
              <w:rPr>
                <w:rFonts w:ascii="宋体" w:hAnsi="宋体" w:eastAsia="宋体" w:cs="宋体"/>
                <w:szCs w:val="21"/>
              </w:rPr>
            </w:pPr>
            <w:r>
              <w:rPr>
                <w:rFonts w:hint="eastAsia" w:ascii="宋体" w:hAnsi="宋体" w:eastAsia="宋体" w:cs="宋体"/>
                <w:szCs w:val="21"/>
              </w:rPr>
              <w:t>报价方需</w:t>
            </w:r>
            <w:r>
              <w:rPr>
                <w:rFonts w:hint="eastAsia" w:ascii="宋体" w:hAnsi="宋体" w:eastAsia="宋体" w:cs="宋体"/>
                <w:color w:val="0000FF"/>
                <w:szCs w:val="21"/>
              </w:rPr>
              <w:t>按</w:t>
            </w:r>
            <w:r>
              <w:rPr>
                <w:rFonts w:hint="eastAsia" w:ascii="宋体" w:hAnsi="宋体" w:eastAsia="宋体" w:cs="宋体"/>
                <w:szCs w:val="21"/>
              </w:rPr>
              <w:t>采购方管理要求至少每季度提供一次全面的系统与服务器巡检服务，并向采购方提交书面报告。巡检内容需涵盖：服务器硬件及操作系统性能评估（CPU、内存、磁盘、网络）；各应用服务状态检查；日志安全审计分析；漏洞扫描与基线符合性检查。报价方需按采购方要求制定数据备份机制，每两个月需按采购方要求至少开展一次数据有效性恢复测试，并提供相关报告。</w:t>
            </w:r>
          </w:p>
          <w:p w14:paraId="3C50CDFD">
            <w:pPr>
              <w:pStyle w:val="22"/>
              <w:numPr>
                <w:ilvl w:val="0"/>
                <w:numId w:val="2"/>
              </w:numPr>
              <w:ind w:firstLineChars="0"/>
              <w:rPr>
                <w:rFonts w:ascii="宋体" w:hAnsi="宋体" w:eastAsia="宋体" w:cs="宋体"/>
                <w:szCs w:val="21"/>
              </w:rPr>
            </w:pPr>
            <w:r>
              <w:rPr>
                <w:rFonts w:hint="eastAsia" w:ascii="宋体" w:hAnsi="宋体" w:eastAsia="宋体" w:cs="宋体"/>
                <w:szCs w:val="21"/>
              </w:rPr>
              <w:t>报价方应建立系统安全运维机制，定期进行安全漏洞扫描与风险评估，并按要求向采购方提供相关报告。对于采购方或第三方安全检测发现的系统漏洞、安全隐患或不符合网络安全规范的问题，报价方须及时制定整改方案，并按网络安全管理规定（监管单位或采购方）的时间内完成修复与升级。涉及紧急高危漏洞时，报价方应在接到通知后立即启动应急响应，并在24小时内修复漏洞，确无法按时限修复的，也需提供临时防护措施或解决方案，确保系统持续符合网络安全等级保护及相关法律法规的要求。</w:t>
            </w:r>
          </w:p>
          <w:p w14:paraId="10C2973F">
            <w:pPr>
              <w:pStyle w:val="22"/>
              <w:numPr>
                <w:ilvl w:val="0"/>
                <w:numId w:val="2"/>
              </w:numPr>
              <w:ind w:firstLineChars="0"/>
              <w:rPr>
                <w:rFonts w:ascii="宋体" w:hAnsi="宋体" w:eastAsia="宋体" w:cs="宋体"/>
                <w:szCs w:val="21"/>
              </w:rPr>
            </w:pPr>
            <w:r>
              <w:rPr>
                <w:rFonts w:hint="eastAsia" w:ascii="宋体" w:hAnsi="宋体" w:eastAsia="宋体" w:cs="宋体"/>
                <w:szCs w:val="21"/>
              </w:rPr>
              <w:t>报价方应确保本项目内系统已对接的所有接口的数据传输稳定，保障数据实时、准确、完整地交互。</w:t>
            </w:r>
          </w:p>
          <w:p w14:paraId="2408D398">
            <w:pPr>
              <w:pStyle w:val="22"/>
              <w:numPr>
                <w:ilvl w:val="0"/>
                <w:numId w:val="2"/>
              </w:numPr>
              <w:ind w:firstLineChars="0"/>
              <w:rPr>
                <w:rFonts w:ascii="宋体" w:hAnsi="宋体" w:eastAsia="宋体" w:cs="宋体"/>
                <w:szCs w:val="21"/>
              </w:rPr>
            </w:pPr>
            <w:r>
              <w:rPr>
                <w:rFonts w:hint="eastAsia" w:ascii="宋体" w:hAnsi="宋体" w:eastAsia="宋体" w:cs="宋体"/>
                <w:szCs w:val="21"/>
              </w:rPr>
              <w:t>报价方应在服务期内，每季度更新一次系统技术文档（包括架构图、部署手册、接口文档等）。服务期满前，须提供完整的年度运维知识转移培训，并移交所有运维过程文档。</w:t>
            </w:r>
          </w:p>
          <w:p w14:paraId="1098BE7B">
            <w:pPr>
              <w:pStyle w:val="22"/>
              <w:numPr>
                <w:ilvl w:val="0"/>
                <w:numId w:val="2"/>
              </w:numPr>
              <w:ind w:firstLineChars="0"/>
              <w:rPr>
                <w:rFonts w:ascii="宋体" w:hAnsi="宋体" w:eastAsia="宋体" w:cs="宋体"/>
                <w:szCs w:val="21"/>
              </w:rPr>
            </w:pPr>
            <w:r>
              <w:rPr>
                <w:rFonts w:hint="eastAsia" w:ascii="宋体" w:hAnsi="宋体" w:eastAsia="宋体" w:cs="宋体"/>
                <w:szCs w:val="21"/>
              </w:rPr>
              <w:t>服务级别协议（SLA）与考核标准</w:t>
            </w:r>
            <w:r>
              <w:rPr>
                <w:rFonts w:hint="eastAsia" w:ascii="宋体" w:hAnsi="宋体" w:eastAsia="宋体" w:cs="宋体"/>
                <w:szCs w:val="21"/>
              </w:rPr>
              <w:br w:type="textWrapping"/>
            </w:r>
            <w:r>
              <w:rPr>
                <w:rFonts w:hint="eastAsia" w:ascii="宋体" w:hAnsi="宋体" w:eastAsia="宋体" w:cs="宋体"/>
                <w:szCs w:val="21"/>
              </w:rPr>
              <w:t xml:space="preserve">    9.1系统可用性：核心业务模块（</w:t>
            </w:r>
            <w:r>
              <w:rPr>
                <w:rFonts w:hint="eastAsia" w:ascii="宋体" w:hAnsi="宋体" w:eastAsia="宋体" w:cs="宋体"/>
                <w:snapToGrid w:val="0"/>
                <w:color w:val="000000"/>
                <w:kern w:val="0"/>
                <w:szCs w:val="21"/>
                <w:lang w:bidi="ar"/>
              </w:rPr>
              <w:t>包括但不限于：</w:t>
            </w:r>
            <w:r>
              <w:rPr>
                <w:rFonts w:hint="eastAsia" w:ascii="宋体" w:hAnsi="宋体" w:eastAsia="宋体" w:cs="宋体"/>
                <w:color w:val="0F1115"/>
                <w:kern w:val="0"/>
                <w:szCs w:val="21"/>
                <w:lang w:bidi="ar"/>
              </w:rPr>
              <w:t>门诊/住院采样、科内工作、查询统计、质控等</w:t>
            </w:r>
            <w:r>
              <w:rPr>
                <w:rFonts w:hint="eastAsia" w:ascii="宋体" w:hAnsi="宋体" w:eastAsia="宋体" w:cs="宋体"/>
                <w:szCs w:val="21"/>
              </w:rPr>
              <w:t>）月度累计可用性不低于99.5%。（计算公式：可用性=（1-计划外不可用时间/月度总时间）×100%）</w:t>
            </w:r>
            <w:r>
              <w:rPr>
                <w:rFonts w:hint="eastAsia" w:ascii="宋体" w:hAnsi="宋体" w:eastAsia="宋体" w:cs="宋体"/>
                <w:szCs w:val="21"/>
              </w:rPr>
              <w:br w:type="textWrapping"/>
            </w:r>
            <w:r>
              <w:rPr>
                <w:rFonts w:hint="eastAsia" w:ascii="宋体" w:hAnsi="宋体" w:eastAsia="宋体" w:cs="宋体"/>
                <w:szCs w:val="21"/>
              </w:rPr>
              <w:t xml:space="preserve">    9.2 数据质量：通过平台交互的核心业务数据（如患者主索引、检验申请单号、检验结果等）准确性要求100%；核心数据同步至目标系统的延迟时间不超过5分钟。</w:t>
            </w:r>
            <w:r>
              <w:rPr>
                <w:rFonts w:hint="eastAsia" w:ascii="宋体" w:hAnsi="宋体" w:eastAsia="宋体" w:cs="宋体"/>
                <w:szCs w:val="21"/>
              </w:rPr>
              <w:br w:type="textWrapping"/>
            </w:r>
            <w:r>
              <w:rPr>
                <w:rFonts w:hint="eastAsia" w:ascii="宋体" w:hAnsi="宋体" w:eastAsia="宋体" w:cs="宋体"/>
                <w:szCs w:val="21"/>
              </w:rPr>
              <w:t xml:space="preserve">    9.3 故障处理：</w:t>
            </w:r>
          </w:p>
          <w:p w14:paraId="20E5D5F7">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P1级（系统瘫痪：</w:t>
            </w:r>
            <w:r>
              <w:rPr>
                <w:rFonts w:ascii="Segoe UI" w:hAnsi="Segoe UI" w:eastAsia="Segoe UI" w:cs="Segoe UI"/>
                <w:szCs w:val="21"/>
                <w:shd w:val="clear" w:color="auto" w:fill="FFFFFF"/>
              </w:rPr>
              <w:t>平台核心模块（</w:t>
            </w:r>
            <w:r>
              <w:rPr>
                <w:rFonts w:hint="eastAsia" w:ascii="宋体" w:hAnsi="宋体" w:eastAsia="宋体" w:cs="宋体"/>
                <w:snapToGrid w:val="0"/>
                <w:color w:val="000000"/>
                <w:kern w:val="0"/>
                <w:szCs w:val="21"/>
                <w:lang w:bidi="ar"/>
              </w:rPr>
              <w:t>包括但不限于：</w:t>
            </w:r>
            <w:r>
              <w:rPr>
                <w:rFonts w:hint="eastAsia" w:ascii="宋体" w:hAnsi="宋体" w:eastAsia="宋体" w:cs="宋体"/>
                <w:color w:val="0F1115"/>
                <w:kern w:val="0"/>
                <w:szCs w:val="21"/>
                <w:lang w:bidi="ar"/>
              </w:rPr>
              <w:t>门诊/住院采样、科内工作、查询统计、质控等</w:t>
            </w:r>
            <w:r>
              <w:rPr>
                <w:rFonts w:ascii="Segoe UI" w:hAnsi="Segoe UI" w:eastAsia="Segoe UI" w:cs="Segoe UI"/>
                <w:szCs w:val="21"/>
                <w:shd w:val="clear" w:color="auto" w:fill="FFFFFF"/>
              </w:rPr>
              <w:t>）完全瘫痪，导致全院或主要业务中断。</w:t>
            </w:r>
            <w:r>
              <w:rPr>
                <w:rFonts w:hint="eastAsia" w:ascii="宋体" w:hAnsi="宋体" w:eastAsia="宋体" w:cs="宋体"/>
                <w:szCs w:val="21"/>
              </w:rPr>
              <w:t>）需在2小时内恢复服务；</w:t>
            </w:r>
          </w:p>
          <w:p w14:paraId="3377F62A">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P2级（核心功能严重受损：</w:t>
            </w:r>
            <w:r>
              <w:rPr>
                <w:rFonts w:ascii="Segoe UI" w:hAnsi="Segoe UI" w:eastAsia="Segoe UI" w:cs="Segoe UI"/>
                <w:szCs w:val="21"/>
                <w:shd w:val="clear" w:color="auto" w:fill="FFFFFF"/>
              </w:rPr>
              <w:t>核心功能严重受损或性能急剧下降，严重影响部分科室业务。</w:t>
            </w:r>
            <w:r>
              <w:rPr>
                <w:rFonts w:hint="eastAsia" w:ascii="宋体" w:hAnsi="宋体" w:eastAsia="宋体" w:cs="宋体"/>
                <w:szCs w:val="21"/>
              </w:rPr>
              <w:t>）需在4小时内解决；</w:t>
            </w:r>
          </w:p>
          <w:p w14:paraId="611DE8F6">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P3级（一般故障：非核心功能异常，存在变通方案，影响用户体验。）需在1个工作日内解决；</w:t>
            </w:r>
          </w:p>
          <w:p w14:paraId="6309E642">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P4级（轻微故障：咨询类问题或轻微瑕疵。）需在5个工作日内解决。</w:t>
            </w:r>
          </w:p>
          <w:p w14:paraId="3D89CE73">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9.4 考核与扣罚：上述SLA指标将纳入季度考核。若未达标，甲方有权按以下标准进行扣减当期服务费用。</w:t>
            </w:r>
          </w:p>
          <w:p w14:paraId="6AC1D4D6">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9.4.1季度可用性未达标扣除合同总金额1%；季度数据质量未达标扣除合同总金额1%。</w:t>
            </w:r>
          </w:p>
          <w:p w14:paraId="5DE1E74F">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9.4.2 P1级故障未能按时处理扣除合同总金额3%每次；P2级故障未能按时处理扣除合同总金额2%每次；P3级及P4级故障未能按时处理扣除合同总金额1%每次。</w:t>
            </w:r>
          </w:p>
          <w:p w14:paraId="6E8D2836">
            <w:pPr>
              <w:pStyle w:val="22"/>
              <w:numPr>
                <w:ilvl w:val="0"/>
                <w:numId w:val="2"/>
              </w:numPr>
              <w:ind w:firstLineChars="0"/>
              <w:rPr>
                <w:rFonts w:ascii="宋体" w:hAnsi="宋体" w:eastAsia="宋体" w:cs="宋体"/>
                <w:szCs w:val="21"/>
              </w:rPr>
            </w:pPr>
            <w:r>
              <w:rPr>
                <w:rFonts w:hint="eastAsia" w:ascii="宋体" w:hAnsi="宋体" w:eastAsia="宋体" w:cs="宋体"/>
                <w:szCs w:val="21"/>
              </w:rPr>
              <w:t>本次运维服务的范围，不包括“南方医科大学深圳口腔医院（坪山）电子病历应用水平（四级）建设项目”中所涉及的相关建设内容。</w:t>
            </w:r>
          </w:p>
        </w:tc>
      </w:tr>
      <w:tr w14:paraId="56D2E4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76" w:hRule="atLeast"/>
          <w:tblCellSpacing w:w="0" w:type="dxa"/>
          <w:jc w:val="center"/>
        </w:trPr>
        <w:tc>
          <w:tcPr>
            <w:tcW w:w="1113" w:type="dxa"/>
            <w:vAlign w:val="center"/>
          </w:tcPr>
          <w:p w14:paraId="494FEA8F">
            <w:pPr>
              <w:rPr>
                <w:rFonts w:ascii="宋体" w:hAnsi="宋体" w:eastAsia="宋体" w:cs="宋体"/>
                <w:szCs w:val="21"/>
              </w:rPr>
            </w:pPr>
            <w:r>
              <w:rPr>
                <w:rFonts w:hint="eastAsia" w:ascii="宋体" w:hAnsi="宋体" w:eastAsia="宋体" w:cs="宋体"/>
                <w:szCs w:val="21"/>
              </w:rPr>
              <w:t>商务需求</w:t>
            </w:r>
          </w:p>
        </w:tc>
        <w:tc>
          <w:tcPr>
            <w:tcW w:w="9427" w:type="dxa"/>
            <w:gridSpan w:val="3"/>
            <w:vAlign w:val="center"/>
          </w:tcPr>
          <w:tbl>
            <w:tblPr>
              <w:tblStyle w:val="12"/>
              <w:tblW w:w="9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7879"/>
            </w:tblGrid>
            <w:tr w14:paraId="45AE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Align w:val="center"/>
                </w:tcPr>
                <w:p w14:paraId="60BA7464">
                  <w:pPr>
                    <w:rPr>
                      <w:rFonts w:ascii="宋体" w:hAnsi="宋体" w:eastAsia="宋体" w:cs="宋体"/>
                      <w:szCs w:val="21"/>
                    </w:rPr>
                  </w:pPr>
                  <w:r>
                    <w:rPr>
                      <w:rFonts w:hint="eastAsia" w:ascii="宋体" w:hAnsi="宋体" w:eastAsia="宋体" w:cs="宋体"/>
                      <w:szCs w:val="21"/>
                    </w:rPr>
                    <w:t>1.服务期限</w:t>
                  </w:r>
                </w:p>
              </w:tc>
              <w:tc>
                <w:tcPr>
                  <w:tcW w:w="7879" w:type="dxa"/>
                </w:tcPr>
                <w:p w14:paraId="46A77D0B">
                  <w:pPr>
                    <w:rPr>
                      <w:rFonts w:ascii="宋体" w:hAnsi="宋体" w:eastAsia="宋体" w:cs="宋体"/>
                      <w:szCs w:val="21"/>
                    </w:rPr>
                  </w:pPr>
                  <w:r>
                    <w:rPr>
                      <w:rFonts w:hint="eastAsia" w:ascii="宋体" w:hAnsi="宋体" w:eastAsia="宋体" w:cs="宋体"/>
                      <w:szCs w:val="21"/>
                      <w:lang w:bidi="ar"/>
                    </w:rPr>
                    <w:t>自签订之日起，一年内。</w:t>
                  </w:r>
                </w:p>
              </w:tc>
            </w:tr>
            <w:tr w14:paraId="227B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Align w:val="center"/>
                </w:tcPr>
                <w:p w14:paraId="07DE2C21">
                  <w:pPr>
                    <w:jc w:val="left"/>
                    <w:rPr>
                      <w:rFonts w:ascii="宋体" w:hAnsi="宋体" w:eastAsia="宋体" w:cs="宋体"/>
                      <w:szCs w:val="21"/>
                    </w:rPr>
                  </w:pPr>
                  <w:r>
                    <w:rPr>
                      <w:rFonts w:hint="eastAsia" w:ascii="宋体" w:hAnsi="宋体" w:eastAsia="宋体" w:cs="宋体"/>
                      <w:szCs w:val="21"/>
                    </w:rPr>
                    <w:t>2.预算说明</w:t>
                  </w:r>
                </w:p>
              </w:tc>
              <w:tc>
                <w:tcPr>
                  <w:tcW w:w="7879" w:type="dxa"/>
                  <w:vAlign w:val="center"/>
                </w:tcPr>
                <w:p w14:paraId="150A2631">
                  <w:pPr>
                    <w:rPr>
                      <w:rFonts w:ascii="宋体" w:hAnsi="宋体" w:eastAsia="宋体" w:cs="宋体"/>
                      <w:szCs w:val="21"/>
                    </w:rPr>
                  </w:pPr>
                  <w:r>
                    <w:rPr>
                      <w:rFonts w:hint="eastAsia" w:ascii="宋体" w:hAnsi="宋体" w:eastAsia="宋体" w:cs="宋体"/>
                      <w:szCs w:val="21"/>
                    </w:rPr>
                    <w:t>本项目报价不允许超过本次预算限额。</w:t>
                  </w:r>
                </w:p>
              </w:tc>
            </w:tr>
            <w:tr w14:paraId="344A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Align w:val="center"/>
                </w:tcPr>
                <w:p w14:paraId="59E1F9E2">
                  <w:pPr>
                    <w:rPr>
                      <w:rFonts w:ascii="宋体" w:hAnsi="宋体" w:eastAsia="宋体" w:cs="宋体"/>
                      <w:szCs w:val="21"/>
                    </w:rPr>
                  </w:pPr>
                  <w:r>
                    <w:rPr>
                      <w:rFonts w:hint="eastAsia" w:ascii="宋体" w:hAnsi="宋体" w:eastAsia="宋体" w:cs="宋体"/>
                      <w:szCs w:val="21"/>
                    </w:rPr>
                    <w:t>3.验收要求</w:t>
                  </w:r>
                </w:p>
              </w:tc>
              <w:tc>
                <w:tcPr>
                  <w:tcW w:w="7879" w:type="dxa"/>
                </w:tcPr>
                <w:p w14:paraId="0EF3DD0B">
                  <w:pPr>
                    <w:rPr>
                      <w:rFonts w:ascii="宋体" w:hAnsi="宋体" w:eastAsia="宋体" w:cs="宋体"/>
                      <w:szCs w:val="21"/>
                    </w:rPr>
                  </w:pPr>
                  <w:r>
                    <w:rPr>
                      <w:rFonts w:hint="eastAsia" w:ascii="宋体" w:hAnsi="宋体" w:eastAsia="宋体" w:cs="宋体"/>
                      <w:szCs w:val="21"/>
                    </w:rPr>
                    <w:t>3.1 日常考核验收：采购方将根据本合同约定的服务要求及SLA（服务级别协议）条款，按季度对服务进行考核。考核结果作为服务费支付的依据之一。</w:t>
                  </w:r>
                  <w:r>
                    <w:rPr>
                      <w:rFonts w:hint="eastAsia" w:ascii="宋体" w:hAnsi="宋体" w:eastAsia="宋体" w:cs="宋体"/>
                      <w:szCs w:val="21"/>
                    </w:rPr>
                    <w:br w:type="textWrapping"/>
                  </w:r>
                  <w:r>
                    <w:rPr>
                      <w:rFonts w:hint="eastAsia" w:ascii="宋体" w:hAnsi="宋体" w:eastAsia="宋体" w:cs="宋体"/>
                      <w:szCs w:val="21"/>
                    </w:rPr>
                    <w:t>3.2 最终验收：服务期满后，中标人需提交年度运维总结报告。采购人根据全年服务履约情况、故障记录、问题解决满意度及总结报告，组织最终验收。</w:t>
                  </w:r>
                </w:p>
              </w:tc>
            </w:tr>
            <w:tr w14:paraId="1FCA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Align w:val="center"/>
                </w:tcPr>
                <w:p w14:paraId="1DD163FE">
                  <w:pPr>
                    <w:rPr>
                      <w:rFonts w:ascii="宋体" w:hAnsi="宋体" w:eastAsia="宋体" w:cs="宋体"/>
                      <w:szCs w:val="21"/>
                    </w:rPr>
                  </w:pPr>
                  <w:r>
                    <w:rPr>
                      <w:rFonts w:hint="eastAsia" w:ascii="宋体" w:hAnsi="宋体" w:eastAsia="宋体" w:cs="宋体"/>
                      <w:szCs w:val="21"/>
                    </w:rPr>
                    <w:t>4.付款条件</w:t>
                  </w:r>
                </w:p>
              </w:tc>
              <w:tc>
                <w:tcPr>
                  <w:tcW w:w="7879" w:type="dxa"/>
                  <w:vAlign w:val="center"/>
                </w:tcPr>
                <w:p w14:paraId="131054C0">
                  <w:pPr>
                    <w:rPr>
                      <w:rFonts w:ascii="宋体" w:hAnsi="宋体" w:eastAsia="宋体" w:cs="宋体"/>
                      <w:szCs w:val="21"/>
                    </w:rPr>
                  </w:pPr>
                  <w:r>
                    <w:rPr>
                      <w:rFonts w:hint="eastAsia" w:ascii="宋体" w:hAnsi="宋体" w:eastAsia="宋体" w:cs="宋体"/>
                      <w:szCs w:val="21"/>
                    </w:rPr>
                    <w:t>运维合同签订生效后10个日历日内，中标人须向采购方开具合法有效的全额发票。采购方收到发票之日起，按合同总金额的40%支付合同首付款。剩余60%的合同款项（即终验款）将在运维服务完成并通过最终验收后10个日历日内予以结清。</w:t>
                  </w:r>
                </w:p>
              </w:tc>
            </w:tr>
            <w:tr w14:paraId="280D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Align w:val="center"/>
                </w:tcPr>
                <w:p w14:paraId="4793A83A">
                  <w:pPr>
                    <w:rPr>
                      <w:rFonts w:ascii="宋体" w:hAnsi="宋体" w:eastAsia="宋体" w:cs="宋体"/>
                      <w:szCs w:val="21"/>
                    </w:rPr>
                  </w:pPr>
                  <w:r>
                    <w:rPr>
                      <w:rFonts w:hint="eastAsia" w:ascii="宋体" w:hAnsi="宋体" w:eastAsia="宋体" w:cs="宋体"/>
                      <w:szCs w:val="21"/>
                    </w:rPr>
                    <w:t>5.违约责任</w:t>
                  </w:r>
                </w:p>
              </w:tc>
              <w:tc>
                <w:tcPr>
                  <w:tcW w:w="7879" w:type="dxa"/>
                  <w:vAlign w:val="center"/>
                </w:tcPr>
                <w:p w14:paraId="01D9C048">
                  <w:pPr>
                    <w:rPr>
                      <w:rFonts w:ascii="宋体" w:hAnsi="宋体" w:eastAsia="宋体" w:cs="宋体"/>
                      <w:szCs w:val="21"/>
                    </w:rPr>
                  </w:pPr>
                  <w:bookmarkStart w:id="3" w:name="OLE_LINK1"/>
                  <w:r>
                    <w:rPr>
                      <w:rFonts w:hint="eastAsia" w:ascii="宋体" w:hAnsi="宋体" w:eastAsia="宋体" w:cs="宋体"/>
                      <w:szCs w:val="21"/>
                    </w:rPr>
                    <w:t>5.1因报价方未能履行合同中规定的保密条款，造成采购方损失的，报价方应向采购方赔偿，采购方保留向报价方提起诉讼的权利。</w:t>
                  </w:r>
                </w:p>
                <w:p w14:paraId="582907FE">
                  <w:pPr>
                    <w:rPr>
                      <w:rFonts w:ascii="宋体" w:hAnsi="宋体" w:eastAsia="宋体" w:cs="宋体"/>
                      <w:szCs w:val="21"/>
                    </w:rPr>
                  </w:pPr>
                  <w:r>
                    <w:rPr>
                      <w:rFonts w:hint="eastAsia" w:ascii="宋体" w:hAnsi="宋体" w:eastAsia="宋体" w:cs="宋体"/>
                      <w:szCs w:val="21"/>
                    </w:rPr>
                    <w:t>5.2</w:t>
                  </w:r>
                  <w:r>
                    <w:rPr>
                      <w:rFonts w:ascii="宋体" w:hAnsi="宋体" w:eastAsia="宋体" w:cs="宋体"/>
                      <w:szCs w:val="21"/>
                    </w:rPr>
                    <w:t>若报价方未按合同约定或采购方明确要求的时间节点完成工作任务，且未就延期事项提前与采购方进行沟通并获得同意，因此导致采购方受到上级主管部门通报批评或其他形式负面评价的，视为报价方严重违约。</w:t>
                  </w:r>
                  <w:r>
                    <w:rPr>
                      <w:rFonts w:hint="eastAsia" w:ascii="宋体" w:hAnsi="宋体" w:eastAsia="宋体" w:cs="宋体"/>
                      <w:szCs w:val="21"/>
                    </w:rPr>
                    <w:t>因报价方原因，同一故障月度内重复发生3次（含）以上，或未达到采购方的服务响应时间要求，采购方有权按次/按比例扣除违约金。</w:t>
                  </w:r>
                  <w:r>
                    <w:rPr>
                      <w:rFonts w:ascii="宋体" w:hAnsi="宋体" w:eastAsia="宋体" w:cs="宋体"/>
                      <w:szCs w:val="21"/>
                    </w:rPr>
                    <w:t>每次发生上述违约情形，</w:t>
                  </w:r>
                  <w:r>
                    <w:rPr>
                      <w:rFonts w:hint="eastAsia" w:ascii="宋体" w:hAnsi="宋体" w:eastAsia="宋体" w:cs="宋体"/>
                      <w:szCs w:val="21"/>
                    </w:rPr>
                    <w:t>采购方</w:t>
                  </w:r>
                  <w:r>
                    <w:rPr>
                      <w:rFonts w:ascii="宋体" w:hAnsi="宋体" w:eastAsia="宋体" w:cs="宋体"/>
                      <w:szCs w:val="21"/>
                    </w:rPr>
                    <w:t>有权从合同款项中扣除合同总金额的0.5%作为违约金。该项违约金累计扣除总额不超过合同总金额的10%。</w:t>
                  </w:r>
                  <w:r>
                    <w:rPr>
                      <w:rFonts w:hint="eastAsia" w:ascii="宋体" w:hAnsi="宋体" w:eastAsia="宋体" w:cs="宋体"/>
                      <w:szCs w:val="21"/>
                    </w:rPr>
                    <w:t xml:space="preserve">                                                  </w:t>
                  </w:r>
                </w:p>
                <w:p w14:paraId="4A0EAE43">
                  <w:pPr>
                    <w:rPr>
                      <w:rFonts w:ascii="宋体" w:hAnsi="宋体" w:eastAsia="宋体" w:cs="宋体"/>
                      <w:szCs w:val="21"/>
                    </w:rPr>
                  </w:pPr>
                  <w:r>
                    <w:rPr>
                      <w:rFonts w:hint="eastAsia" w:ascii="宋体" w:hAnsi="宋体" w:eastAsia="宋体" w:cs="宋体"/>
                      <w:szCs w:val="21"/>
                    </w:rPr>
                    <w:t>5.4报价方不履行合同义务，或履行合同义务不符合约定时，采购方有权解除合同，报价方应立即全额退还甲方所付款项，并向采购方支付合同总金额的10%的违约金。</w:t>
                  </w:r>
                  <w:bookmarkEnd w:id="3"/>
                </w:p>
              </w:tc>
            </w:tr>
            <w:tr w14:paraId="562E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Align w:val="center"/>
                </w:tcPr>
                <w:p w14:paraId="37EEA6C5">
                  <w:pPr>
                    <w:pStyle w:val="3"/>
                    <w:tabs>
                      <w:tab w:val="right" w:pos="8312"/>
                    </w:tabs>
                    <w:spacing w:line="400" w:lineRule="exact"/>
                    <w:ind w:left="0" w:leftChars="0"/>
                    <w:rPr>
                      <w:rFonts w:ascii="宋体" w:hAnsi="宋体" w:eastAsia="宋体" w:cs="宋体"/>
                      <w:szCs w:val="21"/>
                    </w:rPr>
                  </w:pPr>
                  <w:r>
                    <w:rPr>
                      <w:rFonts w:hint="eastAsia" w:ascii="宋体" w:hAnsi="宋体" w:eastAsia="宋体" w:cs="宋体"/>
                      <w:szCs w:val="21"/>
                    </w:rPr>
                    <w:t>6.违约情形</w:t>
                  </w:r>
                </w:p>
              </w:tc>
              <w:tc>
                <w:tcPr>
                  <w:tcW w:w="7879" w:type="dxa"/>
                  <w:vAlign w:val="center"/>
                </w:tcPr>
                <w:p w14:paraId="77AF4FF8">
                  <w:pPr>
                    <w:rPr>
                      <w:rFonts w:ascii="宋体" w:hAnsi="宋体" w:eastAsia="宋体" w:cs="宋体"/>
                      <w:szCs w:val="21"/>
                    </w:rPr>
                  </w:pPr>
                  <w:r>
                    <w:rPr>
                      <w:rFonts w:hint="eastAsia" w:ascii="宋体" w:hAnsi="宋体" w:eastAsia="宋体" w:cs="宋体"/>
                      <w:szCs w:val="21"/>
                    </w:rPr>
                    <w:t>报价方在合同执行期间有下列行为之一的，采购人有权直接解除合同：</w:t>
                  </w:r>
                </w:p>
                <w:p w14:paraId="0ACF9062">
                  <w:pPr>
                    <w:rPr>
                      <w:rFonts w:ascii="宋体" w:hAnsi="宋体" w:eastAsia="宋体" w:cs="宋体"/>
                      <w:szCs w:val="21"/>
                    </w:rPr>
                  </w:pPr>
                  <w:r>
                    <w:rPr>
                      <w:rFonts w:hint="eastAsia" w:ascii="宋体" w:hAnsi="宋体" w:eastAsia="宋体" w:cs="宋体"/>
                      <w:szCs w:val="21"/>
                    </w:rPr>
                    <w:t>6.1擅自变更或者中止采购服务合同的；</w:t>
                  </w:r>
                </w:p>
                <w:p w14:paraId="3B22A53A">
                  <w:pPr>
                    <w:rPr>
                      <w:rFonts w:ascii="宋体" w:hAnsi="宋体" w:eastAsia="宋体" w:cs="宋体"/>
                      <w:szCs w:val="21"/>
                    </w:rPr>
                  </w:pPr>
                  <w:r>
                    <w:rPr>
                      <w:rFonts w:hint="eastAsia" w:ascii="宋体" w:hAnsi="宋体" w:eastAsia="宋体" w:cs="宋体"/>
                      <w:szCs w:val="21"/>
                    </w:rPr>
                    <w:t>6.2不按招投标文件以及服务合同要求全面履约的；</w:t>
                  </w:r>
                </w:p>
                <w:p w14:paraId="23E74C6D">
                  <w:pPr>
                    <w:rPr>
                      <w:rFonts w:ascii="宋体" w:hAnsi="宋体" w:eastAsia="宋体" w:cs="宋体"/>
                      <w:szCs w:val="21"/>
                    </w:rPr>
                  </w:pPr>
                  <w:r>
                    <w:rPr>
                      <w:rFonts w:hint="eastAsia" w:ascii="宋体" w:hAnsi="宋体" w:eastAsia="宋体" w:cs="宋体"/>
                      <w:szCs w:val="21"/>
                    </w:rPr>
                    <w:t>6.3非法分包或转包给任何单位和个人；</w:t>
                  </w:r>
                </w:p>
                <w:p w14:paraId="61091BE0">
                  <w:pPr>
                    <w:rPr>
                      <w:rFonts w:ascii="宋体" w:hAnsi="宋体" w:eastAsia="宋体" w:cs="宋体"/>
                      <w:szCs w:val="21"/>
                    </w:rPr>
                  </w:pPr>
                  <w:r>
                    <w:rPr>
                      <w:rFonts w:hint="eastAsia" w:ascii="宋体" w:hAnsi="宋体" w:eastAsia="宋体" w:cs="宋体"/>
                      <w:szCs w:val="21"/>
                    </w:rPr>
                    <w:t>6.4造成严重后果或恶劣影响的；</w:t>
                  </w:r>
                </w:p>
                <w:p w14:paraId="1A3979DF">
                  <w:pPr>
                    <w:rPr>
                      <w:rFonts w:ascii="宋体" w:hAnsi="宋体" w:eastAsia="宋体" w:cs="宋体"/>
                      <w:szCs w:val="21"/>
                    </w:rPr>
                  </w:pPr>
                  <w:r>
                    <w:rPr>
                      <w:rFonts w:hint="eastAsia" w:ascii="宋体" w:hAnsi="宋体" w:eastAsia="宋体" w:cs="宋体"/>
                      <w:szCs w:val="21"/>
                    </w:rPr>
                    <w:t>出现上述情况之一的，采购方有权终止服务合同，其中直接造成采购方损失的，中标人应当进行赔偿。</w:t>
                  </w:r>
                </w:p>
              </w:tc>
            </w:tr>
          </w:tbl>
          <w:p w14:paraId="6F06B747">
            <w:pPr>
              <w:rPr>
                <w:rFonts w:ascii="宋体" w:hAnsi="宋体" w:eastAsia="宋体" w:cs="宋体"/>
                <w:szCs w:val="21"/>
              </w:rPr>
            </w:pPr>
          </w:p>
        </w:tc>
      </w:tr>
      <w:tr w14:paraId="6CCFA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169528D7">
            <w:pPr>
              <w:rPr>
                <w:b/>
                <w:color w:val="FF0000"/>
              </w:rPr>
            </w:pPr>
            <w:r>
              <w:rPr>
                <w:rFonts w:hint="eastAsia"/>
                <w:b/>
                <w:color w:val="FF0000"/>
              </w:rPr>
              <w:t>注意事项</w:t>
            </w:r>
          </w:p>
        </w:tc>
        <w:tc>
          <w:tcPr>
            <w:tcW w:w="9427" w:type="dxa"/>
            <w:gridSpan w:val="3"/>
            <w:vAlign w:val="center"/>
          </w:tcPr>
          <w:p w14:paraId="2D2AA26C">
            <w:pPr>
              <w:rPr>
                <w:b/>
                <w:color w:val="FF0000"/>
              </w:rPr>
            </w:pPr>
            <w:r>
              <w:rPr>
                <w:rFonts w:hint="eastAsia" w:asciiTheme="minorEastAsia" w:hAnsiTheme="minorEastAsia"/>
                <w:b/>
                <w:color w:val="FF0000"/>
              </w:rPr>
              <w:t>需求中打★号的为必须满足项，报价方需在报价文件中做出承诺满足该要求，若报价方中标后无法执行，采购方有权撤销报价方的中标资质，撤销已签订的合同，并追究报价方的法律责任。</w:t>
            </w:r>
          </w:p>
        </w:tc>
      </w:tr>
    </w:tbl>
    <w:p w14:paraId="34478F3C"/>
    <w:p w14:paraId="658BC4B1"/>
    <w:sectPr>
      <w:pgSz w:w="11906" w:h="16838"/>
      <w:pgMar w:top="99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55FACF"/>
    <w:multiLevelType w:val="singleLevel"/>
    <w:tmpl w:val="CC55FACF"/>
    <w:lvl w:ilvl="0" w:tentative="0">
      <w:start w:val="1"/>
      <w:numFmt w:val="chineseCounting"/>
      <w:suff w:val="nothing"/>
      <w:lvlText w:val="%1、"/>
      <w:lvlJc w:val="left"/>
      <w:rPr>
        <w:rFonts w:hint="eastAsia"/>
      </w:rPr>
    </w:lvl>
  </w:abstractNum>
  <w:abstractNum w:abstractNumId="1">
    <w:nsid w:val="244D646B"/>
    <w:multiLevelType w:val="multilevel"/>
    <w:tmpl w:val="244D646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1199"/>
    <w:rsid w:val="00022396"/>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72AB8"/>
    <w:rsid w:val="00081625"/>
    <w:rsid w:val="00081DCA"/>
    <w:rsid w:val="00092748"/>
    <w:rsid w:val="000963DF"/>
    <w:rsid w:val="000969AD"/>
    <w:rsid w:val="00096B4C"/>
    <w:rsid w:val="00097F39"/>
    <w:rsid w:val="000A1A47"/>
    <w:rsid w:val="000A334F"/>
    <w:rsid w:val="000B1974"/>
    <w:rsid w:val="000B5C11"/>
    <w:rsid w:val="000C3C06"/>
    <w:rsid w:val="000C4174"/>
    <w:rsid w:val="000C5BD2"/>
    <w:rsid w:val="000D0B15"/>
    <w:rsid w:val="000D170A"/>
    <w:rsid w:val="000D38E9"/>
    <w:rsid w:val="000D5954"/>
    <w:rsid w:val="000E1A9C"/>
    <w:rsid w:val="000E24AF"/>
    <w:rsid w:val="000F1131"/>
    <w:rsid w:val="000F2912"/>
    <w:rsid w:val="000F301A"/>
    <w:rsid w:val="000F6DE9"/>
    <w:rsid w:val="001011AB"/>
    <w:rsid w:val="001011EE"/>
    <w:rsid w:val="001076B3"/>
    <w:rsid w:val="00111D09"/>
    <w:rsid w:val="00111F90"/>
    <w:rsid w:val="00120CD7"/>
    <w:rsid w:val="001251A8"/>
    <w:rsid w:val="0012630E"/>
    <w:rsid w:val="00130FF0"/>
    <w:rsid w:val="00141515"/>
    <w:rsid w:val="001559A6"/>
    <w:rsid w:val="00156886"/>
    <w:rsid w:val="00162B46"/>
    <w:rsid w:val="001641B0"/>
    <w:rsid w:val="00171162"/>
    <w:rsid w:val="0017382F"/>
    <w:rsid w:val="001818F0"/>
    <w:rsid w:val="0018247A"/>
    <w:rsid w:val="001846B6"/>
    <w:rsid w:val="00185417"/>
    <w:rsid w:val="0018666A"/>
    <w:rsid w:val="00191CF3"/>
    <w:rsid w:val="00191D5E"/>
    <w:rsid w:val="001967B4"/>
    <w:rsid w:val="001A049C"/>
    <w:rsid w:val="001B1FD0"/>
    <w:rsid w:val="001D10CC"/>
    <w:rsid w:val="001E01F8"/>
    <w:rsid w:val="001E28FF"/>
    <w:rsid w:val="001E4011"/>
    <w:rsid w:val="001E6A63"/>
    <w:rsid w:val="001F4D5B"/>
    <w:rsid w:val="00206B02"/>
    <w:rsid w:val="00215437"/>
    <w:rsid w:val="002160AE"/>
    <w:rsid w:val="002175B6"/>
    <w:rsid w:val="00221AC0"/>
    <w:rsid w:val="00230A6D"/>
    <w:rsid w:val="00230FBA"/>
    <w:rsid w:val="002320C7"/>
    <w:rsid w:val="00237E82"/>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82EBF"/>
    <w:rsid w:val="00384001"/>
    <w:rsid w:val="00390626"/>
    <w:rsid w:val="00394830"/>
    <w:rsid w:val="003951F5"/>
    <w:rsid w:val="00395524"/>
    <w:rsid w:val="003A38A0"/>
    <w:rsid w:val="003A5378"/>
    <w:rsid w:val="003A602F"/>
    <w:rsid w:val="003A62FA"/>
    <w:rsid w:val="003A7AC3"/>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BDC"/>
    <w:rsid w:val="00416F16"/>
    <w:rsid w:val="00417349"/>
    <w:rsid w:val="00417EF4"/>
    <w:rsid w:val="00422E85"/>
    <w:rsid w:val="0043050C"/>
    <w:rsid w:val="00431DC1"/>
    <w:rsid w:val="00435F5A"/>
    <w:rsid w:val="00441374"/>
    <w:rsid w:val="00444170"/>
    <w:rsid w:val="0044584D"/>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344E"/>
    <w:rsid w:val="005151B1"/>
    <w:rsid w:val="005165C0"/>
    <w:rsid w:val="00521192"/>
    <w:rsid w:val="00525C63"/>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0EB4"/>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3BB"/>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35A8"/>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695D"/>
    <w:rsid w:val="00836D9F"/>
    <w:rsid w:val="0084110D"/>
    <w:rsid w:val="008459DE"/>
    <w:rsid w:val="00850AFE"/>
    <w:rsid w:val="008560FF"/>
    <w:rsid w:val="00857CE5"/>
    <w:rsid w:val="008606E1"/>
    <w:rsid w:val="00873AA2"/>
    <w:rsid w:val="00873F08"/>
    <w:rsid w:val="008759C8"/>
    <w:rsid w:val="00876571"/>
    <w:rsid w:val="00892860"/>
    <w:rsid w:val="008936D2"/>
    <w:rsid w:val="008A3BC8"/>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41A80"/>
    <w:rsid w:val="009430F6"/>
    <w:rsid w:val="00944740"/>
    <w:rsid w:val="009455E6"/>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7B9C"/>
    <w:rsid w:val="009D0712"/>
    <w:rsid w:val="009D0A2D"/>
    <w:rsid w:val="009D0C5F"/>
    <w:rsid w:val="009D0C96"/>
    <w:rsid w:val="009D1ECD"/>
    <w:rsid w:val="009D5B75"/>
    <w:rsid w:val="009D5F06"/>
    <w:rsid w:val="009D7684"/>
    <w:rsid w:val="009E09E3"/>
    <w:rsid w:val="009E36E5"/>
    <w:rsid w:val="009E4AC8"/>
    <w:rsid w:val="009E4CA7"/>
    <w:rsid w:val="009E69E3"/>
    <w:rsid w:val="009F2F53"/>
    <w:rsid w:val="009F3619"/>
    <w:rsid w:val="009F38A3"/>
    <w:rsid w:val="009F5C82"/>
    <w:rsid w:val="009F7B32"/>
    <w:rsid w:val="00A1655C"/>
    <w:rsid w:val="00A16BA0"/>
    <w:rsid w:val="00A17060"/>
    <w:rsid w:val="00A17277"/>
    <w:rsid w:val="00A208E2"/>
    <w:rsid w:val="00A24989"/>
    <w:rsid w:val="00A34CB3"/>
    <w:rsid w:val="00A44BC9"/>
    <w:rsid w:val="00A4593A"/>
    <w:rsid w:val="00A46118"/>
    <w:rsid w:val="00A46335"/>
    <w:rsid w:val="00A46DF0"/>
    <w:rsid w:val="00A50E60"/>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4757"/>
    <w:rsid w:val="00AF5C6E"/>
    <w:rsid w:val="00B050F8"/>
    <w:rsid w:val="00B06840"/>
    <w:rsid w:val="00B1273B"/>
    <w:rsid w:val="00B163BE"/>
    <w:rsid w:val="00B21EEA"/>
    <w:rsid w:val="00B223EF"/>
    <w:rsid w:val="00B2383E"/>
    <w:rsid w:val="00B2548C"/>
    <w:rsid w:val="00B35630"/>
    <w:rsid w:val="00B42095"/>
    <w:rsid w:val="00B4247F"/>
    <w:rsid w:val="00B565A0"/>
    <w:rsid w:val="00B56770"/>
    <w:rsid w:val="00B56DB5"/>
    <w:rsid w:val="00B63750"/>
    <w:rsid w:val="00B71816"/>
    <w:rsid w:val="00B718B3"/>
    <w:rsid w:val="00B76AA2"/>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8A"/>
    <w:rsid w:val="00C54BBD"/>
    <w:rsid w:val="00C55386"/>
    <w:rsid w:val="00C70B34"/>
    <w:rsid w:val="00C710EE"/>
    <w:rsid w:val="00C76292"/>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15DA"/>
    <w:rsid w:val="00D03026"/>
    <w:rsid w:val="00D0414D"/>
    <w:rsid w:val="00D052E6"/>
    <w:rsid w:val="00D06779"/>
    <w:rsid w:val="00D10DB4"/>
    <w:rsid w:val="00D11F48"/>
    <w:rsid w:val="00D207BF"/>
    <w:rsid w:val="00D2260B"/>
    <w:rsid w:val="00D22F4C"/>
    <w:rsid w:val="00D25285"/>
    <w:rsid w:val="00D273A9"/>
    <w:rsid w:val="00D34AD3"/>
    <w:rsid w:val="00D402BD"/>
    <w:rsid w:val="00D43B07"/>
    <w:rsid w:val="00D4507C"/>
    <w:rsid w:val="00D472F6"/>
    <w:rsid w:val="00D500A7"/>
    <w:rsid w:val="00D50AF9"/>
    <w:rsid w:val="00D51D90"/>
    <w:rsid w:val="00D5343A"/>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7026"/>
    <w:rsid w:val="00DC7D57"/>
    <w:rsid w:val="00DC7F37"/>
    <w:rsid w:val="00DD7FA2"/>
    <w:rsid w:val="00DE113C"/>
    <w:rsid w:val="00DE43D0"/>
    <w:rsid w:val="00DE4EB2"/>
    <w:rsid w:val="00DE5BD2"/>
    <w:rsid w:val="00DF01CB"/>
    <w:rsid w:val="00DF51B9"/>
    <w:rsid w:val="00DF7090"/>
    <w:rsid w:val="00DF7812"/>
    <w:rsid w:val="00E208AE"/>
    <w:rsid w:val="00E22B5A"/>
    <w:rsid w:val="00E23C4D"/>
    <w:rsid w:val="00E307DD"/>
    <w:rsid w:val="00E31C89"/>
    <w:rsid w:val="00E341E0"/>
    <w:rsid w:val="00E4154B"/>
    <w:rsid w:val="00E42FBE"/>
    <w:rsid w:val="00E44985"/>
    <w:rsid w:val="00E47595"/>
    <w:rsid w:val="00E56DF7"/>
    <w:rsid w:val="00E57DBB"/>
    <w:rsid w:val="00E65E76"/>
    <w:rsid w:val="00E67A61"/>
    <w:rsid w:val="00E7331A"/>
    <w:rsid w:val="00E764D2"/>
    <w:rsid w:val="00E827B7"/>
    <w:rsid w:val="00E86978"/>
    <w:rsid w:val="00E93139"/>
    <w:rsid w:val="00E97734"/>
    <w:rsid w:val="00EA0177"/>
    <w:rsid w:val="00EA41DF"/>
    <w:rsid w:val="00EA6D00"/>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60590"/>
    <w:rsid w:val="00F60C6C"/>
    <w:rsid w:val="00F63300"/>
    <w:rsid w:val="00F77649"/>
    <w:rsid w:val="00F8778B"/>
    <w:rsid w:val="00F93DEB"/>
    <w:rsid w:val="00FA1389"/>
    <w:rsid w:val="00FA1E6E"/>
    <w:rsid w:val="00FA5211"/>
    <w:rsid w:val="00FA68A8"/>
    <w:rsid w:val="00FB1278"/>
    <w:rsid w:val="00FB37E1"/>
    <w:rsid w:val="00FB7EE6"/>
    <w:rsid w:val="00FC0529"/>
    <w:rsid w:val="00FC2253"/>
    <w:rsid w:val="00FC453A"/>
    <w:rsid w:val="00FC5857"/>
    <w:rsid w:val="00FC63FB"/>
    <w:rsid w:val="00FC66E6"/>
    <w:rsid w:val="00FD3556"/>
    <w:rsid w:val="00FE02AA"/>
    <w:rsid w:val="00FE2D77"/>
    <w:rsid w:val="00FE680C"/>
    <w:rsid w:val="00FF054B"/>
    <w:rsid w:val="00FF1624"/>
    <w:rsid w:val="00FF3EFF"/>
    <w:rsid w:val="00FF3F47"/>
    <w:rsid w:val="00FF46CD"/>
    <w:rsid w:val="00FF53FC"/>
    <w:rsid w:val="00FF55B5"/>
    <w:rsid w:val="00FF6C23"/>
    <w:rsid w:val="015E6884"/>
    <w:rsid w:val="01804A4C"/>
    <w:rsid w:val="01852063"/>
    <w:rsid w:val="01BD35AB"/>
    <w:rsid w:val="02420152"/>
    <w:rsid w:val="02AE55E9"/>
    <w:rsid w:val="02B20C36"/>
    <w:rsid w:val="02B96468"/>
    <w:rsid w:val="02C24BF1"/>
    <w:rsid w:val="02C55056"/>
    <w:rsid w:val="02EA76FC"/>
    <w:rsid w:val="031251C5"/>
    <w:rsid w:val="03405DA5"/>
    <w:rsid w:val="03445EE6"/>
    <w:rsid w:val="035937A7"/>
    <w:rsid w:val="03655CA8"/>
    <w:rsid w:val="036D7252"/>
    <w:rsid w:val="044955CA"/>
    <w:rsid w:val="04926F71"/>
    <w:rsid w:val="04B57B90"/>
    <w:rsid w:val="04C42EA2"/>
    <w:rsid w:val="04ED41A7"/>
    <w:rsid w:val="05085485"/>
    <w:rsid w:val="05281683"/>
    <w:rsid w:val="052F2FC5"/>
    <w:rsid w:val="05961CD6"/>
    <w:rsid w:val="05A028B1"/>
    <w:rsid w:val="05B80C59"/>
    <w:rsid w:val="05FA6964"/>
    <w:rsid w:val="064249C6"/>
    <w:rsid w:val="069F5975"/>
    <w:rsid w:val="06DD649D"/>
    <w:rsid w:val="07075397"/>
    <w:rsid w:val="070B300A"/>
    <w:rsid w:val="072F4F4B"/>
    <w:rsid w:val="075C73C2"/>
    <w:rsid w:val="07DE2D8B"/>
    <w:rsid w:val="07EB6D02"/>
    <w:rsid w:val="08745B19"/>
    <w:rsid w:val="08C449B7"/>
    <w:rsid w:val="09297778"/>
    <w:rsid w:val="097F383C"/>
    <w:rsid w:val="09D41DD9"/>
    <w:rsid w:val="09F60228"/>
    <w:rsid w:val="09FA0BED"/>
    <w:rsid w:val="0A6C0264"/>
    <w:rsid w:val="0A821835"/>
    <w:rsid w:val="0AB911FE"/>
    <w:rsid w:val="0AC91212"/>
    <w:rsid w:val="0B077F8D"/>
    <w:rsid w:val="0BCE7613"/>
    <w:rsid w:val="0BD95485"/>
    <w:rsid w:val="0BF17A23"/>
    <w:rsid w:val="0C2D57D1"/>
    <w:rsid w:val="0C6A2581"/>
    <w:rsid w:val="0C776A4C"/>
    <w:rsid w:val="0CE20369"/>
    <w:rsid w:val="0CE71E24"/>
    <w:rsid w:val="0D166265"/>
    <w:rsid w:val="0D9A6E96"/>
    <w:rsid w:val="0DD24882"/>
    <w:rsid w:val="0E8D07A9"/>
    <w:rsid w:val="0ED572F8"/>
    <w:rsid w:val="0EDE38DC"/>
    <w:rsid w:val="0F056591"/>
    <w:rsid w:val="0F0F7410"/>
    <w:rsid w:val="0FAB181A"/>
    <w:rsid w:val="0FD06B9F"/>
    <w:rsid w:val="0FD85A54"/>
    <w:rsid w:val="0FE73EE9"/>
    <w:rsid w:val="10353802"/>
    <w:rsid w:val="108C51BC"/>
    <w:rsid w:val="1111121D"/>
    <w:rsid w:val="119D0D03"/>
    <w:rsid w:val="11C95F9C"/>
    <w:rsid w:val="12046FD4"/>
    <w:rsid w:val="121E0D58"/>
    <w:rsid w:val="12CD345A"/>
    <w:rsid w:val="12D44BF8"/>
    <w:rsid w:val="130B7EEE"/>
    <w:rsid w:val="1340403C"/>
    <w:rsid w:val="1349016D"/>
    <w:rsid w:val="13530102"/>
    <w:rsid w:val="13637D2A"/>
    <w:rsid w:val="139D323C"/>
    <w:rsid w:val="14157276"/>
    <w:rsid w:val="14E804E7"/>
    <w:rsid w:val="154C4F1A"/>
    <w:rsid w:val="16227A29"/>
    <w:rsid w:val="167A3D95"/>
    <w:rsid w:val="16B72867"/>
    <w:rsid w:val="16B965DF"/>
    <w:rsid w:val="16E318AE"/>
    <w:rsid w:val="17A74689"/>
    <w:rsid w:val="17AE3C6A"/>
    <w:rsid w:val="17CE60BA"/>
    <w:rsid w:val="181635BD"/>
    <w:rsid w:val="189B3D4A"/>
    <w:rsid w:val="18A63D25"/>
    <w:rsid w:val="18BE612E"/>
    <w:rsid w:val="18F41B50"/>
    <w:rsid w:val="195C14A3"/>
    <w:rsid w:val="197467ED"/>
    <w:rsid w:val="197A301A"/>
    <w:rsid w:val="1988673C"/>
    <w:rsid w:val="1A8A3DEE"/>
    <w:rsid w:val="1AE23C2A"/>
    <w:rsid w:val="1B293607"/>
    <w:rsid w:val="1BB76E65"/>
    <w:rsid w:val="1C2914E8"/>
    <w:rsid w:val="1C2C33AF"/>
    <w:rsid w:val="1C5D3C4D"/>
    <w:rsid w:val="1C8C6544"/>
    <w:rsid w:val="1CA23671"/>
    <w:rsid w:val="1CE7377A"/>
    <w:rsid w:val="1D216C8C"/>
    <w:rsid w:val="1D4B4E83"/>
    <w:rsid w:val="1D7C3EC2"/>
    <w:rsid w:val="1D8334A3"/>
    <w:rsid w:val="1D8828A2"/>
    <w:rsid w:val="1D9D585A"/>
    <w:rsid w:val="1DCD2970"/>
    <w:rsid w:val="1DE026A3"/>
    <w:rsid w:val="1E647772"/>
    <w:rsid w:val="1E9516DF"/>
    <w:rsid w:val="1EEC5ECB"/>
    <w:rsid w:val="1F86727A"/>
    <w:rsid w:val="1FB16C3F"/>
    <w:rsid w:val="1FF34163"/>
    <w:rsid w:val="200A1C59"/>
    <w:rsid w:val="205E02FC"/>
    <w:rsid w:val="20785734"/>
    <w:rsid w:val="2136082C"/>
    <w:rsid w:val="21AD1B7C"/>
    <w:rsid w:val="220015D2"/>
    <w:rsid w:val="220F79FB"/>
    <w:rsid w:val="22BF627D"/>
    <w:rsid w:val="22CA3922"/>
    <w:rsid w:val="230C3F3A"/>
    <w:rsid w:val="2329689A"/>
    <w:rsid w:val="23645B24"/>
    <w:rsid w:val="237F295E"/>
    <w:rsid w:val="2393640A"/>
    <w:rsid w:val="23FB116E"/>
    <w:rsid w:val="24082954"/>
    <w:rsid w:val="24863878"/>
    <w:rsid w:val="24885842"/>
    <w:rsid w:val="24C7636B"/>
    <w:rsid w:val="24ED56A6"/>
    <w:rsid w:val="253A0D01"/>
    <w:rsid w:val="25433787"/>
    <w:rsid w:val="25826736"/>
    <w:rsid w:val="25CB59E7"/>
    <w:rsid w:val="25E371D4"/>
    <w:rsid w:val="263E265D"/>
    <w:rsid w:val="26483128"/>
    <w:rsid w:val="26661BB3"/>
    <w:rsid w:val="266B71CA"/>
    <w:rsid w:val="26AF5308"/>
    <w:rsid w:val="26B4291F"/>
    <w:rsid w:val="2705317A"/>
    <w:rsid w:val="27076EF2"/>
    <w:rsid w:val="275B2D9A"/>
    <w:rsid w:val="27A07774"/>
    <w:rsid w:val="280F640A"/>
    <w:rsid w:val="28876563"/>
    <w:rsid w:val="28924EE2"/>
    <w:rsid w:val="290D5725"/>
    <w:rsid w:val="29121B7F"/>
    <w:rsid w:val="29B11398"/>
    <w:rsid w:val="2A53244F"/>
    <w:rsid w:val="2ABB0720"/>
    <w:rsid w:val="2B0F281A"/>
    <w:rsid w:val="2B964CE9"/>
    <w:rsid w:val="2B9D5253"/>
    <w:rsid w:val="2C332538"/>
    <w:rsid w:val="2C3342E6"/>
    <w:rsid w:val="2C622E1D"/>
    <w:rsid w:val="2C736DD8"/>
    <w:rsid w:val="2CD535EF"/>
    <w:rsid w:val="2CF41CC7"/>
    <w:rsid w:val="2D3447B9"/>
    <w:rsid w:val="2DE956D9"/>
    <w:rsid w:val="2DEA4E78"/>
    <w:rsid w:val="2E1E7447"/>
    <w:rsid w:val="2E43648D"/>
    <w:rsid w:val="2E985F54"/>
    <w:rsid w:val="2EA8720D"/>
    <w:rsid w:val="2EAB2859"/>
    <w:rsid w:val="2EBC6814"/>
    <w:rsid w:val="2ECF6B10"/>
    <w:rsid w:val="2ED95618"/>
    <w:rsid w:val="2EE76884"/>
    <w:rsid w:val="2F6F7D2B"/>
    <w:rsid w:val="30066945"/>
    <w:rsid w:val="300D4E4E"/>
    <w:rsid w:val="304C24A0"/>
    <w:rsid w:val="30817D16"/>
    <w:rsid w:val="30937C76"/>
    <w:rsid w:val="30C45E54"/>
    <w:rsid w:val="310821E5"/>
    <w:rsid w:val="317C228B"/>
    <w:rsid w:val="31CD2942"/>
    <w:rsid w:val="31F14A27"/>
    <w:rsid w:val="31F938DC"/>
    <w:rsid w:val="322C0750"/>
    <w:rsid w:val="322C5A5F"/>
    <w:rsid w:val="32382656"/>
    <w:rsid w:val="325A2A82"/>
    <w:rsid w:val="325D20BC"/>
    <w:rsid w:val="328F5FEE"/>
    <w:rsid w:val="32AC4DF2"/>
    <w:rsid w:val="32B75C71"/>
    <w:rsid w:val="3344327C"/>
    <w:rsid w:val="336F02F9"/>
    <w:rsid w:val="33E462EB"/>
    <w:rsid w:val="33E83C08"/>
    <w:rsid w:val="342F7A89"/>
    <w:rsid w:val="343F10D3"/>
    <w:rsid w:val="344C063B"/>
    <w:rsid w:val="34897199"/>
    <w:rsid w:val="34C06C9A"/>
    <w:rsid w:val="34CA155F"/>
    <w:rsid w:val="35215623"/>
    <w:rsid w:val="35246EC1"/>
    <w:rsid w:val="35BA7826"/>
    <w:rsid w:val="35D812F2"/>
    <w:rsid w:val="35DA1C76"/>
    <w:rsid w:val="35F26FC0"/>
    <w:rsid w:val="36201D7F"/>
    <w:rsid w:val="363870C8"/>
    <w:rsid w:val="365E28A7"/>
    <w:rsid w:val="366A46AF"/>
    <w:rsid w:val="36716136"/>
    <w:rsid w:val="36B978C7"/>
    <w:rsid w:val="36D96A36"/>
    <w:rsid w:val="36DF7544"/>
    <w:rsid w:val="36E42DAC"/>
    <w:rsid w:val="36E71A90"/>
    <w:rsid w:val="37265173"/>
    <w:rsid w:val="378626C8"/>
    <w:rsid w:val="37B22EAA"/>
    <w:rsid w:val="37EE502E"/>
    <w:rsid w:val="382D42DF"/>
    <w:rsid w:val="384635F3"/>
    <w:rsid w:val="386C12AB"/>
    <w:rsid w:val="38785BF3"/>
    <w:rsid w:val="38B467AE"/>
    <w:rsid w:val="38E042F0"/>
    <w:rsid w:val="38E47094"/>
    <w:rsid w:val="38FC7931"/>
    <w:rsid w:val="3914549F"/>
    <w:rsid w:val="394C787E"/>
    <w:rsid w:val="39673B94"/>
    <w:rsid w:val="39855919"/>
    <w:rsid w:val="39A802F2"/>
    <w:rsid w:val="39ED6B3B"/>
    <w:rsid w:val="3A0045B7"/>
    <w:rsid w:val="3A053765"/>
    <w:rsid w:val="3A32128C"/>
    <w:rsid w:val="3A42356C"/>
    <w:rsid w:val="3A810912"/>
    <w:rsid w:val="3AD16020"/>
    <w:rsid w:val="3B3913E9"/>
    <w:rsid w:val="3B581673"/>
    <w:rsid w:val="3BAE4E39"/>
    <w:rsid w:val="3C0267B9"/>
    <w:rsid w:val="3C0B4937"/>
    <w:rsid w:val="3C6D73A0"/>
    <w:rsid w:val="3C9568F7"/>
    <w:rsid w:val="3D121CF5"/>
    <w:rsid w:val="3D2739F3"/>
    <w:rsid w:val="3D5567B2"/>
    <w:rsid w:val="3D7B789B"/>
    <w:rsid w:val="3D9D3CB5"/>
    <w:rsid w:val="3DEE4511"/>
    <w:rsid w:val="3E3D58B5"/>
    <w:rsid w:val="3E691DE9"/>
    <w:rsid w:val="3ECF3F0C"/>
    <w:rsid w:val="3EFC4A0B"/>
    <w:rsid w:val="3F1B7587"/>
    <w:rsid w:val="3F760C61"/>
    <w:rsid w:val="3FA550A3"/>
    <w:rsid w:val="401B7113"/>
    <w:rsid w:val="40B52773"/>
    <w:rsid w:val="40D52048"/>
    <w:rsid w:val="40DA0D7C"/>
    <w:rsid w:val="40F167F2"/>
    <w:rsid w:val="40F36398"/>
    <w:rsid w:val="410B2C87"/>
    <w:rsid w:val="410B7187"/>
    <w:rsid w:val="41173D7E"/>
    <w:rsid w:val="413761CE"/>
    <w:rsid w:val="41562AF9"/>
    <w:rsid w:val="41C11ED0"/>
    <w:rsid w:val="423170C2"/>
    <w:rsid w:val="424961B9"/>
    <w:rsid w:val="425D3A13"/>
    <w:rsid w:val="42913E89"/>
    <w:rsid w:val="4355293C"/>
    <w:rsid w:val="436A3AF2"/>
    <w:rsid w:val="4383394D"/>
    <w:rsid w:val="43CC0E50"/>
    <w:rsid w:val="43CC70A2"/>
    <w:rsid w:val="442E38B9"/>
    <w:rsid w:val="448E07FB"/>
    <w:rsid w:val="4492209A"/>
    <w:rsid w:val="44A92F3F"/>
    <w:rsid w:val="44AB6CB7"/>
    <w:rsid w:val="450609DD"/>
    <w:rsid w:val="457E0BD1"/>
    <w:rsid w:val="45815C6A"/>
    <w:rsid w:val="45A2455E"/>
    <w:rsid w:val="45D863DE"/>
    <w:rsid w:val="465D0485"/>
    <w:rsid w:val="467852BF"/>
    <w:rsid w:val="46B1432D"/>
    <w:rsid w:val="47797541"/>
    <w:rsid w:val="47A143A2"/>
    <w:rsid w:val="47AA76FA"/>
    <w:rsid w:val="47AA7774"/>
    <w:rsid w:val="47C6205A"/>
    <w:rsid w:val="47CF7161"/>
    <w:rsid w:val="47F4705A"/>
    <w:rsid w:val="484D0086"/>
    <w:rsid w:val="486D24D6"/>
    <w:rsid w:val="488E0DCA"/>
    <w:rsid w:val="489F6B33"/>
    <w:rsid w:val="48C4659A"/>
    <w:rsid w:val="490B6143"/>
    <w:rsid w:val="4A211429"/>
    <w:rsid w:val="4AF64A04"/>
    <w:rsid w:val="4B3774F7"/>
    <w:rsid w:val="4B515A7A"/>
    <w:rsid w:val="4BDE7972"/>
    <w:rsid w:val="4C06511B"/>
    <w:rsid w:val="4C697BB1"/>
    <w:rsid w:val="4CBD1C7E"/>
    <w:rsid w:val="4CFF2296"/>
    <w:rsid w:val="4D07114B"/>
    <w:rsid w:val="4D6C7200"/>
    <w:rsid w:val="4DD52FF7"/>
    <w:rsid w:val="4DFA2A5E"/>
    <w:rsid w:val="4E235B10"/>
    <w:rsid w:val="4E573A0C"/>
    <w:rsid w:val="4EAF3848"/>
    <w:rsid w:val="4EE41BC3"/>
    <w:rsid w:val="4EEE63C5"/>
    <w:rsid w:val="4F1B22DD"/>
    <w:rsid w:val="4F4E12B3"/>
    <w:rsid w:val="4F840831"/>
    <w:rsid w:val="4FBC446F"/>
    <w:rsid w:val="4FC652ED"/>
    <w:rsid w:val="4FF736F9"/>
    <w:rsid w:val="50306FB5"/>
    <w:rsid w:val="50A941CF"/>
    <w:rsid w:val="50D531EC"/>
    <w:rsid w:val="511300BE"/>
    <w:rsid w:val="512027DB"/>
    <w:rsid w:val="515F7B5F"/>
    <w:rsid w:val="516C5F9F"/>
    <w:rsid w:val="516F72BF"/>
    <w:rsid w:val="518E73DD"/>
    <w:rsid w:val="51AF1D6C"/>
    <w:rsid w:val="52383B54"/>
    <w:rsid w:val="52B14033"/>
    <w:rsid w:val="52BE405A"/>
    <w:rsid w:val="52C11D9C"/>
    <w:rsid w:val="52E8557B"/>
    <w:rsid w:val="52EC6E19"/>
    <w:rsid w:val="538434F5"/>
    <w:rsid w:val="53BD07B5"/>
    <w:rsid w:val="53F215D4"/>
    <w:rsid w:val="54420CBA"/>
    <w:rsid w:val="54493DF7"/>
    <w:rsid w:val="545509EE"/>
    <w:rsid w:val="545C1D7C"/>
    <w:rsid w:val="54613836"/>
    <w:rsid w:val="5479624C"/>
    <w:rsid w:val="54D1276A"/>
    <w:rsid w:val="54DB1ED7"/>
    <w:rsid w:val="550348EE"/>
    <w:rsid w:val="555B0286"/>
    <w:rsid w:val="55735CBD"/>
    <w:rsid w:val="557B26D6"/>
    <w:rsid w:val="558107EB"/>
    <w:rsid w:val="5591253F"/>
    <w:rsid w:val="55AE6607"/>
    <w:rsid w:val="56044479"/>
    <w:rsid w:val="561843C9"/>
    <w:rsid w:val="56552F27"/>
    <w:rsid w:val="56633896"/>
    <w:rsid w:val="56AF6ADB"/>
    <w:rsid w:val="56E83D9B"/>
    <w:rsid w:val="56ED36EC"/>
    <w:rsid w:val="571921A6"/>
    <w:rsid w:val="572052E3"/>
    <w:rsid w:val="573D7CA0"/>
    <w:rsid w:val="57DD1426"/>
    <w:rsid w:val="588673C8"/>
    <w:rsid w:val="58892BEE"/>
    <w:rsid w:val="58EE31BF"/>
    <w:rsid w:val="59036C6A"/>
    <w:rsid w:val="590649AC"/>
    <w:rsid w:val="593C217C"/>
    <w:rsid w:val="594B23BF"/>
    <w:rsid w:val="5A0E3B19"/>
    <w:rsid w:val="5A1C523D"/>
    <w:rsid w:val="5A5033A7"/>
    <w:rsid w:val="5A96449D"/>
    <w:rsid w:val="5AD92379"/>
    <w:rsid w:val="5AEA5C0E"/>
    <w:rsid w:val="5B2B06FA"/>
    <w:rsid w:val="5B353327"/>
    <w:rsid w:val="5B3C6463"/>
    <w:rsid w:val="5BB16E51"/>
    <w:rsid w:val="5BCF552A"/>
    <w:rsid w:val="5C5356DD"/>
    <w:rsid w:val="5C677510"/>
    <w:rsid w:val="5C78171D"/>
    <w:rsid w:val="5C915E6B"/>
    <w:rsid w:val="5C9F314E"/>
    <w:rsid w:val="5C9F4EFC"/>
    <w:rsid w:val="5C9F6CAA"/>
    <w:rsid w:val="5CB35A78"/>
    <w:rsid w:val="5CC2508E"/>
    <w:rsid w:val="5D276C9F"/>
    <w:rsid w:val="5D467A6D"/>
    <w:rsid w:val="5D494E68"/>
    <w:rsid w:val="5D6A1FCB"/>
    <w:rsid w:val="5D92680F"/>
    <w:rsid w:val="5DA622BA"/>
    <w:rsid w:val="5DDC7A8A"/>
    <w:rsid w:val="5E204216"/>
    <w:rsid w:val="5E9D546B"/>
    <w:rsid w:val="5EA467FA"/>
    <w:rsid w:val="5EB6477F"/>
    <w:rsid w:val="5ED50F19"/>
    <w:rsid w:val="5EF37781"/>
    <w:rsid w:val="5F0C439F"/>
    <w:rsid w:val="5F3C4C84"/>
    <w:rsid w:val="5F5244A8"/>
    <w:rsid w:val="5F97010C"/>
    <w:rsid w:val="5FB567E4"/>
    <w:rsid w:val="5FE13A7D"/>
    <w:rsid w:val="5FF67529"/>
    <w:rsid w:val="602844E5"/>
    <w:rsid w:val="606D70BF"/>
    <w:rsid w:val="611759A9"/>
    <w:rsid w:val="61B236C7"/>
    <w:rsid w:val="61CB28D4"/>
    <w:rsid w:val="61E433B1"/>
    <w:rsid w:val="61E6537B"/>
    <w:rsid w:val="621C0D9D"/>
    <w:rsid w:val="622D4D58"/>
    <w:rsid w:val="627E55B4"/>
    <w:rsid w:val="62B114E5"/>
    <w:rsid w:val="62EE098B"/>
    <w:rsid w:val="63006D65"/>
    <w:rsid w:val="63493E13"/>
    <w:rsid w:val="635D166D"/>
    <w:rsid w:val="63A4729C"/>
    <w:rsid w:val="63CB65D6"/>
    <w:rsid w:val="63D351D4"/>
    <w:rsid w:val="640C0196"/>
    <w:rsid w:val="641E704E"/>
    <w:rsid w:val="64267CB1"/>
    <w:rsid w:val="64281C7B"/>
    <w:rsid w:val="642D7291"/>
    <w:rsid w:val="643D5426"/>
    <w:rsid w:val="64656A2B"/>
    <w:rsid w:val="649E3CEB"/>
    <w:rsid w:val="65167D25"/>
    <w:rsid w:val="65336B29"/>
    <w:rsid w:val="659301F6"/>
    <w:rsid w:val="65B25CA0"/>
    <w:rsid w:val="65C6799D"/>
    <w:rsid w:val="66171FA7"/>
    <w:rsid w:val="666176C6"/>
    <w:rsid w:val="666F3B91"/>
    <w:rsid w:val="669C425A"/>
    <w:rsid w:val="66A6332B"/>
    <w:rsid w:val="66AD6467"/>
    <w:rsid w:val="67470D70"/>
    <w:rsid w:val="67694A84"/>
    <w:rsid w:val="68106CAE"/>
    <w:rsid w:val="68420E31"/>
    <w:rsid w:val="6844104D"/>
    <w:rsid w:val="68617509"/>
    <w:rsid w:val="68CE1DC5"/>
    <w:rsid w:val="69DC4818"/>
    <w:rsid w:val="6A2C5734"/>
    <w:rsid w:val="6A3F7D1E"/>
    <w:rsid w:val="6A775937"/>
    <w:rsid w:val="6AB51D8E"/>
    <w:rsid w:val="6ABA73A5"/>
    <w:rsid w:val="6ABF49BB"/>
    <w:rsid w:val="6ACA3A8C"/>
    <w:rsid w:val="6AFF300A"/>
    <w:rsid w:val="6B2D5DC9"/>
    <w:rsid w:val="6B3451DC"/>
    <w:rsid w:val="6C101972"/>
    <w:rsid w:val="6CEC1C46"/>
    <w:rsid w:val="6CFC634B"/>
    <w:rsid w:val="6D2C27DC"/>
    <w:rsid w:val="6D736189"/>
    <w:rsid w:val="6E535B46"/>
    <w:rsid w:val="6E763603"/>
    <w:rsid w:val="6EF63490"/>
    <w:rsid w:val="6F1057E5"/>
    <w:rsid w:val="6F1928EC"/>
    <w:rsid w:val="6F51652A"/>
    <w:rsid w:val="6FEF5D43"/>
    <w:rsid w:val="70871AD7"/>
    <w:rsid w:val="70A369B7"/>
    <w:rsid w:val="70CA3CD6"/>
    <w:rsid w:val="713E2ADE"/>
    <w:rsid w:val="71A14E1B"/>
    <w:rsid w:val="71C823A7"/>
    <w:rsid w:val="71CA25C3"/>
    <w:rsid w:val="71D16318"/>
    <w:rsid w:val="72AE3C93"/>
    <w:rsid w:val="72BF37AA"/>
    <w:rsid w:val="72DA05E4"/>
    <w:rsid w:val="72ED2222"/>
    <w:rsid w:val="731215F5"/>
    <w:rsid w:val="73223D39"/>
    <w:rsid w:val="737C5B3F"/>
    <w:rsid w:val="73A82490"/>
    <w:rsid w:val="73D9089C"/>
    <w:rsid w:val="74116287"/>
    <w:rsid w:val="744049FF"/>
    <w:rsid w:val="744A51FA"/>
    <w:rsid w:val="74E67512"/>
    <w:rsid w:val="751A5610"/>
    <w:rsid w:val="755A1EB0"/>
    <w:rsid w:val="756E5A5A"/>
    <w:rsid w:val="76022B63"/>
    <w:rsid w:val="76BC122C"/>
    <w:rsid w:val="76E6709F"/>
    <w:rsid w:val="76F123A0"/>
    <w:rsid w:val="772C33D8"/>
    <w:rsid w:val="773C4E5C"/>
    <w:rsid w:val="77690189"/>
    <w:rsid w:val="77803B10"/>
    <w:rsid w:val="778925D9"/>
    <w:rsid w:val="77D575CC"/>
    <w:rsid w:val="783207F7"/>
    <w:rsid w:val="786A065C"/>
    <w:rsid w:val="787D213D"/>
    <w:rsid w:val="789D458E"/>
    <w:rsid w:val="78C530C2"/>
    <w:rsid w:val="793D367B"/>
    <w:rsid w:val="79703A50"/>
    <w:rsid w:val="797D616D"/>
    <w:rsid w:val="79802CF3"/>
    <w:rsid w:val="799C32AA"/>
    <w:rsid w:val="79A050F6"/>
    <w:rsid w:val="79FE7E05"/>
    <w:rsid w:val="7A010B4C"/>
    <w:rsid w:val="7A2C0161"/>
    <w:rsid w:val="7A460C55"/>
    <w:rsid w:val="7A5944E4"/>
    <w:rsid w:val="7A8F7F06"/>
    <w:rsid w:val="7ACD0A2E"/>
    <w:rsid w:val="7ADF59FA"/>
    <w:rsid w:val="7AF661D7"/>
    <w:rsid w:val="7B0326A2"/>
    <w:rsid w:val="7B05200B"/>
    <w:rsid w:val="7B0E1773"/>
    <w:rsid w:val="7B74407A"/>
    <w:rsid w:val="7BA479E1"/>
    <w:rsid w:val="7BBC483D"/>
    <w:rsid w:val="7BC938EC"/>
    <w:rsid w:val="7BCB7664"/>
    <w:rsid w:val="7BD007D6"/>
    <w:rsid w:val="7BF72207"/>
    <w:rsid w:val="7BFC15CB"/>
    <w:rsid w:val="7C0C5586"/>
    <w:rsid w:val="7C4F3DF1"/>
    <w:rsid w:val="7C6D24C9"/>
    <w:rsid w:val="7C7D5FD1"/>
    <w:rsid w:val="7CDC31AB"/>
    <w:rsid w:val="7CDE6F23"/>
    <w:rsid w:val="7CF43AE5"/>
    <w:rsid w:val="7DD165CD"/>
    <w:rsid w:val="7E190053"/>
    <w:rsid w:val="7E5E47BF"/>
    <w:rsid w:val="7E68119A"/>
    <w:rsid w:val="7F8475FA"/>
    <w:rsid w:val="7F8E4C30"/>
    <w:rsid w:val="7FC35185"/>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autoRedefine/>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annotation text"/>
    <w:basedOn w:val="1"/>
    <w:link w:val="24"/>
    <w:autoRedefine/>
    <w:semiHidden/>
    <w:unhideWhenUsed/>
    <w:qFormat/>
    <w:uiPriority w:val="99"/>
    <w:pPr>
      <w:jc w:val="left"/>
    </w:pPr>
  </w:style>
  <w:style w:type="paragraph" w:styleId="5">
    <w:name w:val="Body Text"/>
    <w:basedOn w:val="1"/>
    <w:next w:val="1"/>
    <w:unhideWhenUsed/>
    <w:qFormat/>
    <w:uiPriority w:val="99"/>
    <w:pPr>
      <w:spacing w:after="120"/>
    </w:pPr>
  </w:style>
  <w:style w:type="paragraph" w:styleId="6">
    <w:name w:val="Balloon Text"/>
    <w:basedOn w:val="1"/>
    <w:link w:val="23"/>
    <w:autoRedefine/>
    <w:semiHidden/>
    <w:unhideWhenUsed/>
    <w:qFormat/>
    <w:uiPriority w:val="99"/>
    <w:rPr>
      <w:rFonts w:ascii="Times New Roman" w:hAnsi="Times New Roman" w:eastAsia="仿宋_GB2312" w:cs="Times New Roman"/>
      <w:spacing w:val="10"/>
      <w:sz w:val="18"/>
      <w:szCs w:val="18"/>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4"/>
    <w:next w:val="4"/>
    <w:link w:val="25"/>
    <w:autoRedefine/>
    <w:semiHidden/>
    <w:unhideWhenUsed/>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22"/>
    <w:rPr>
      <w:b/>
      <w:bCs/>
    </w:rPr>
  </w:style>
  <w:style w:type="character" w:styleId="15">
    <w:name w:val="FollowedHyperlink"/>
    <w:basedOn w:val="13"/>
    <w:autoRedefine/>
    <w:semiHidden/>
    <w:unhideWhenUsed/>
    <w:qFormat/>
    <w:uiPriority w:val="99"/>
    <w:rPr>
      <w:color w:val="800080"/>
      <w:sz w:val="20"/>
      <w:szCs w:val="20"/>
      <w:u w:val="single"/>
    </w:rPr>
  </w:style>
  <w:style w:type="character" w:styleId="16">
    <w:name w:val="Hyperlink"/>
    <w:basedOn w:val="13"/>
    <w:autoRedefine/>
    <w:semiHidden/>
    <w:unhideWhenUsed/>
    <w:qFormat/>
    <w:uiPriority w:val="99"/>
    <w:rPr>
      <w:color w:val="0000FF"/>
      <w:sz w:val="20"/>
      <w:szCs w:val="20"/>
      <w:u w:val="single"/>
    </w:rPr>
  </w:style>
  <w:style w:type="character" w:styleId="17">
    <w:name w:val="annotation reference"/>
    <w:basedOn w:val="13"/>
    <w:autoRedefine/>
    <w:semiHidden/>
    <w:unhideWhenUsed/>
    <w:qFormat/>
    <w:uiPriority w:val="99"/>
    <w:rPr>
      <w:sz w:val="21"/>
      <w:szCs w:val="21"/>
    </w:rPr>
  </w:style>
  <w:style w:type="paragraph" w:customStyle="1" w:styleId="18">
    <w:name w:val="tableheader"/>
    <w:basedOn w:val="1"/>
    <w:autoRedefine/>
    <w:qFormat/>
    <w:uiPriority w:val="0"/>
    <w:pPr>
      <w:widowControl/>
      <w:shd w:val="clear" w:color="auto" w:fill="ABCDEF"/>
      <w:spacing w:before="100" w:beforeAutospacing="1" w:after="100" w:afterAutospacing="1"/>
      <w:jc w:val="left"/>
    </w:pPr>
    <w:rPr>
      <w:rFonts w:ascii="宋体" w:hAnsi="宋体" w:eastAsia="宋体" w:cs="宋体"/>
      <w:kern w:val="0"/>
      <w:sz w:val="24"/>
      <w:szCs w:val="24"/>
    </w:rPr>
  </w:style>
  <w:style w:type="character" w:customStyle="1" w:styleId="19">
    <w:name w:val="页眉 Char"/>
    <w:basedOn w:val="13"/>
    <w:link w:val="8"/>
    <w:autoRedefine/>
    <w:qFormat/>
    <w:uiPriority w:val="0"/>
    <w:rPr>
      <w:rFonts w:ascii="Times New Roman" w:hAnsi="Times New Roman" w:eastAsia="宋体" w:cs="Times New Roman"/>
      <w:sz w:val="18"/>
      <w:szCs w:val="18"/>
    </w:rPr>
  </w:style>
  <w:style w:type="character" w:customStyle="1" w:styleId="20">
    <w:name w:val="页脚 Char"/>
    <w:basedOn w:val="13"/>
    <w:link w:val="7"/>
    <w:autoRedefine/>
    <w:qFormat/>
    <w:uiPriority w:val="99"/>
    <w:rPr>
      <w:sz w:val="18"/>
      <w:szCs w:val="18"/>
    </w:rPr>
  </w:style>
  <w:style w:type="paragraph" w:customStyle="1" w:styleId="21">
    <w:name w:val="首行缩进"/>
    <w:basedOn w:val="1"/>
    <w:autoRedefine/>
    <w:qFormat/>
    <w:uiPriority w:val="0"/>
    <w:pPr>
      <w:ind w:firstLine="480" w:firstLineChars="200"/>
    </w:pPr>
    <w:rPr>
      <w:rFonts w:ascii="Calibri" w:hAnsi="Calibri" w:eastAsia="仿宋" w:cs="Times New Roman"/>
      <w:sz w:val="28"/>
      <w:lang w:val="zh-CN"/>
    </w:rPr>
  </w:style>
  <w:style w:type="paragraph" w:styleId="22">
    <w:name w:val="List Paragraph"/>
    <w:basedOn w:val="1"/>
    <w:autoRedefine/>
    <w:qFormat/>
    <w:uiPriority w:val="34"/>
    <w:pPr>
      <w:ind w:firstLine="420" w:firstLineChars="200"/>
    </w:pPr>
  </w:style>
  <w:style w:type="character" w:customStyle="1" w:styleId="23">
    <w:name w:val="批注框文本 Char"/>
    <w:basedOn w:val="13"/>
    <w:link w:val="6"/>
    <w:autoRedefine/>
    <w:semiHidden/>
    <w:qFormat/>
    <w:uiPriority w:val="99"/>
    <w:rPr>
      <w:rFonts w:ascii="Times New Roman" w:hAnsi="Times New Roman" w:eastAsia="仿宋_GB2312" w:cs="Times New Roman"/>
      <w:spacing w:val="10"/>
      <w:sz w:val="18"/>
      <w:szCs w:val="18"/>
    </w:rPr>
  </w:style>
  <w:style w:type="character" w:customStyle="1" w:styleId="24">
    <w:name w:val="批注文字 Char"/>
    <w:basedOn w:val="13"/>
    <w:link w:val="4"/>
    <w:autoRedefine/>
    <w:semiHidden/>
    <w:qFormat/>
    <w:uiPriority w:val="99"/>
  </w:style>
  <w:style w:type="character" w:customStyle="1" w:styleId="25">
    <w:name w:val="批注主题 Char"/>
    <w:basedOn w:val="24"/>
    <w:link w:val="10"/>
    <w:autoRedefine/>
    <w:semiHidden/>
    <w:qFormat/>
    <w:uiPriority w:val="99"/>
    <w:rPr>
      <w:b/>
      <w:bCs/>
    </w:rPr>
  </w:style>
  <w:style w:type="character" w:customStyle="1" w:styleId="26">
    <w:name w:val="标题 1 Char"/>
    <w:basedOn w:val="13"/>
    <w:link w:val="2"/>
    <w:autoRedefine/>
    <w:qFormat/>
    <w:uiPriority w:val="9"/>
    <w:rPr>
      <w:b/>
      <w:bCs/>
      <w:kern w:val="44"/>
      <w:sz w:val="44"/>
      <w:szCs w:val="44"/>
    </w:rPr>
  </w:style>
  <w:style w:type="paragraph" w:customStyle="1" w:styleId="27">
    <w:name w:val="封面标准名称"/>
    <w:qFormat/>
    <w:uiPriority w:val="0"/>
    <w:pPr>
      <w:framePr w:w="9639" w:h="6917" w:wrap="around" w:vAnchor="page" w:hAnchor="page" w:xAlign="center" w:y="6408" w:anchorLock="1"/>
      <w:widowControl w:val="0"/>
      <w:spacing w:line="680" w:lineRule="exact"/>
      <w:jc w:val="center"/>
    </w:pPr>
    <w:rPr>
      <w:rFonts w:ascii="黑体" w:hAnsi="Times New Roman" w:eastAsia="黑体" w:cs="Times New Roman"/>
      <w:sz w:val="52"/>
      <w:lang w:val="en-US" w:eastAsia="zh-CN" w:bidi="ar-SA"/>
    </w:rPr>
  </w:style>
  <w:style w:type="character" w:customStyle="1" w:styleId="28">
    <w:name w:val="font51"/>
    <w:basedOn w:val="13"/>
    <w:qFormat/>
    <w:uiPriority w:val="0"/>
    <w:rPr>
      <w:rFonts w:ascii="仿宋_GB2312" w:eastAsia="仿宋_GB2312" w:cs="仿宋_GB2312"/>
      <w:color w:val="000000"/>
      <w:sz w:val="28"/>
      <w:szCs w:val="28"/>
      <w:u w:val="none"/>
    </w:rPr>
  </w:style>
  <w:style w:type="character" w:customStyle="1" w:styleId="29">
    <w:name w:val="font21"/>
    <w:basedOn w:val="13"/>
    <w:qFormat/>
    <w:uiPriority w:val="0"/>
    <w:rPr>
      <w:rFonts w:hint="eastAsia" w:ascii="宋体" w:hAnsi="宋体" w:eastAsia="宋体" w:cs="宋体"/>
      <w:color w:val="000000"/>
      <w:sz w:val="28"/>
      <w:szCs w:val="28"/>
      <w:u w:val="none"/>
    </w:rPr>
  </w:style>
  <w:style w:type="character" w:customStyle="1" w:styleId="30">
    <w:name w:val="font31"/>
    <w:basedOn w:val="13"/>
    <w:qFormat/>
    <w:uiPriority w:val="0"/>
    <w:rPr>
      <w:rFonts w:hint="default" w:ascii="Times New Roman" w:hAnsi="Times New Roman" w:cs="Times New Roman"/>
      <w:color w:val="000000"/>
      <w:sz w:val="28"/>
      <w:szCs w:val="28"/>
      <w:u w:val="none"/>
    </w:rPr>
  </w:style>
  <w:style w:type="character" w:customStyle="1" w:styleId="31">
    <w:name w:val="font41"/>
    <w:basedOn w:val="13"/>
    <w:qFormat/>
    <w:uiPriority w:val="0"/>
    <w:rPr>
      <w:rFonts w:hint="eastAsia" w:ascii="仿宋_GB2312" w:eastAsia="仿宋_GB2312" w:cs="仿宋_GB2312"/>
      <w:color w:val="000000"/>
      <w:sz w:val="28"/>
      <w:szCs w:val="28"/>
      <w:u w:val="none"/>
    </w:rPr>
  </w:style>
  <w:style w:type="character" w:customStyle="1" w:styleId="32">
    <w:name w:val="font11"/>
    <w:basedOn w:val="13"/>
    <w:qFormat/>
    <w:uiPriority w:val="0"/>
    <w:rPr>
      <w:rFonts w:hint="eastAsia" w:ascii="仿宋_GB2312" w:eastAsia="仿宋_GB2312" w:cs="仿宋_GB2312"/>
      <w:color w:val="000000"/>
      <w:sz w:val="22"/>
      <w:szCs w:val="22"/>
      <w:u w:val="none"/>
    </w:rPr>
  </w:style>
  <w:style w:type="paragraph" w:customStyle="1" w:styleId="33">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94556316-9205-4d02-883b-4e227604950e</errorID>
      <errorWord>00元</errorWord>
      <group>L1_Word</group>
      <groupName>字词问题</groupName>
      <ability>L2_Typo</ability>
      <abilityName>字词错误</abilityName>
      <candidateList>
        <item>00</item>
      </candidateList>
      <explain/>
      <paraID>60241488</paraID>
      <start>6</start>
      <end>9</end>
      <status>unmodified</status>
      <modifiedWord/>
      <trackRevisions>false</trackRevisions>
    </reviewItem>
    <reviewItem>
      <errorID>f442b188-1eba-41df-aab9-24fbeb4a227c</errorID>
      <errorWord>①记录</errorWord>
      <group>L1_Grammar</group>
      <groupName>语法问题</groupName>
      <ability>L2_Grammar</ability>
      <abilityName>语法错误</abilityName>
      <candidateList>
        <item>①</item>
      </candidateList>
      <explain/>
      <paraID>200B966E</paraID>
      <start>54</start>
      <end>57</end>
      <status>unmodified</status>
      <modifiedWord/>
      <trackRevisions>false</trackRevisions>
    </reviewItem>
    <reviewItem>
      <errorID>8c36336d-e3e0-4d34-88a1-0dabd45c2931</errorID>
      <errorWord>①记录</errorWord>
      <group>L1_Grammar</group>
      <groupName>语法问题</groupName>
      <ability>L2_Grammar</ability>
      <abilityName>语法错误</abilityName>
      <candidateList>
        <item>①</item>
      </candidateList>
      <explain/>
      <paraID>200B966E</paraID>
      <start>93</start>
      <end>96</end>
      <status>unmodified</status>
      <modifiedWord/>
      <trackRevisions>false</trackRevisions>
    </reviewItem>
    <reviewItem>
      <errorID>08d69f7e-d8ce-4838-b5d2-08f0c58117d2</errorID>
      <errorWord>6. </errorWord>
      <group>L1_Format</group>
      <groupName>格式问题</groupName>
      <ability>L2_Ordinal</ability>
      <abilityName>序号格式</abilityName>
      <candidateList>
        <item>6）</item>
      </candidateList>
      <explain>标题顺序错误，请检查标题顺序是否合理。</explain>
      <paraID>612B6F07</paraID>
      <start>0</start>
      <end>3</end>
      <status>unmodified</status>
      <modifiedWord/>
      <trackRevisions>false</trackRevisions>
    </reviewItem>
    <reviewItem>
      <errorID>49b5e035-65cf-42c2-8150-27d55fbdbffc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2D098727</paraID>
      <start>29</start>
      <end>32</end>
      <status>unmodified</status>
      <modifiedWord/>
      <trackRevisions>false</trackRevisions>
    </reviewItem>
    <reviewItem>
      <errorID>92cbba76-434d-4c5a-8462-6a33e7aa965e</errorID>
      <errorWord>（</errorWord>
      <group>L1_Punc</group>
      <groupName>标点问题</groupName>
      <ability>L2_Punc_CN</ability>
      <abilityName>标点符号问题</abilityName>
      <candidateList/>
      <explain>同一形式括号套用。</explain>
      <paraID>1098BE7B</paraID>
      <start>92</start>
      <end>93</end>
      <status>unmodified</status>
      <modifiedWord/>
      <trackRevisions>false</trackRevisions>
    </reviewItem>
    <reviewItem>
      <errorID>c12ee890-2ab8-4243-9965-82533cc1983b</errorID>
      <errorWord>）</errorWord>
      <group>L1_Punc</group>
      <groupName>标点问题</groupName>
      <ability>L2_Punc_CN</ability>
      <abilityName>标点符号问题</abilityName>
      <candidateList/>
      <explain>同一形式括号套用。</explain>
      <paraID>1098BE7B</paraID>
      <start>109</start>
      <end>110</end>
      <status>unmodified</status>
      <modifiedWord/>
      <trackRevisions>false</trackRevisions>
    </reviewItem>
    <reviewItem>
      <errorID>a075ebe7-ccd8-407c-b47b-3e92401e8c92</errorID>
      <errorWord>（</errorWord>
      <group>L1_Punc</group>
      <groupName>标点问题</groupName>
      <ability>L2_Punc_CN</ability>
      <abilityName>标点符号问题</abilityName>
      <candidateList/>
      <explain>同一形式括号套用。</explain>
      <paraID>20E5D5F7</paraID>
      <start>15</start>
      <end>16</end>
      <status>unmodified</status>
      <modifiedWord/>
      <trackRevisions>false</trackRevisions>
    </reviewItem>
    <reviewItem>
      <errorID>a67bbc19-35d7-4a95-9026-602abbe1e889</errorID>
      <errorWord>）</errorWord>
      <group>L1_Punc</group>
      <groupName>标点问题</groupName>
      <ability>L2_Punc_CN</ability>
      <abilityName>标点符号问题</abilityName>
      <candidateList/>
      <explain>同一形式括号套用。</explain>
      <paraID>20E5D5F7</paraID>
      <start>44</start>
      <end>45</end>
      <status>unmodified</status>
      <modifiedWord/>
      <trackRevisions>false</trackRevisions>
    </reviewItem>
    <reviewItem>
      <errorID>852b71d4-75f7-4c58-beba-6de6ec6cebcd</errorID>
      <errorWord>标准进行</errorWord>
      <group>L1_Grammar</group>
      <groupName>语法问题</groupName>
      <ability>L2_Grammar</ability>
      <abilityName>语法错误</abilityName>
      <candidateList>
        <item>标准</item>
      </candidateList>
      <explain/>
      <paraID>3D89CE73</paraID>
      <start>37</start>
      <end>41</end>
      <status>unmodified</status>
      <modifiedWord/>
      <trackRevisions>false</trackRevisions>
    </reviewItem>
    <reviewItem>
      <errorID>cb6b3aab-a361-45e8-ba0c-9ced5e41df36</errorID>
      <errorWord>季度</errorWord>
      <group>L1_Word</group>
      <groupName>字词问题</groupName>
      <ability>L2_Typo</ability>
      <abilityName>字词错误</abilityName>
      <candidateList>
        <item> 季度</item>
      </candidateList>
      <explain/>
      <paraID>6AC1D4D6</paraID>
      <start>5</start>
      <end>7</end>
      <status>unmodified</status>
      <modifiedWord/>
      <trackRevisions>false</trackRevisions>
    </reviewItem>
    <reviewItem>
      <errorID>426e30c1-4454-4a11-92cb-90d13aaf8971</errorID>
      <errorWord>扣除</errorWord>
      <group>L1_Punc</group>
      <groupName>标点问题</groupName>
      <ability>L2_Punc_CN</ability>
      <abilityName>标点符号问题</abilityName>
      <candidateList>
        <item>，扣除</item>
      </candidateList>
      <explain/>
      <paraID>6AC1D4D6</paraID>
      <start>13</start>
      <end>15</end>
      <status>unmodified</status>
      <modifiedWord/>
      <trackRevisions>false</trackRevisions>
    </reviewItem>
    <reviewItem>
      <errorID>a9acdf26-a1c5-4bbe-9769-ceca0c3849cf</errorID>
      <errorWord>扣除</errorWord>
      <group>L1_Punc</group>
      <groupName>标点问题</groupName>
      <ability>L2_Punc_CN</ability>
      <abilityName>标点符号问题</abilityName>
      <candidateList>
        <item>，扣除</item>
      </candidateList>
      <explain/>
      <paraID>6AC1D4D6</paraID>
      <start>32</start>
      <end>34</end>
      <status>unmodified</status>
      <modifiedWord/>
      <trackRevisions>false</trackRevisions>
    </reviewItem>
    <reviewItem>
      <errorID>1c80d6d0-f391-4b34-b0a3-7dd0d047f04c</errorID>
      <errorWord>扣除</errorWord>
      <group>L1_Punc</group>
      <groupName>标点问题</groupName>
      <ability>L2_Punc_CN</ability>
      <abilityName>标点符号问题</abilityName>
      <candidateList>
        <item>，扣除</item>
      </candidateList>
      <explain/>
      <paraID>5DE1E74F</paraID>
      <start>17</start>
      <end>19</end>
      <status>unmodified</status>
      <modifiedWord/>
      <trackRevisions>false</trackRevisions>
    </reviewItem>
    <reviewItem>
      <errorID>77be6b30-bd74-4c52-a40a-bdb5c9deb7ab</errorID>
      <errorWord>扣除</errorWord>
      <group>L1_Punc</group>
      <groupName>标点问题</groupName>
      <ability>L2_Punc_CN</ability>
      <abilityName>标点符号问题</abilityName>
      <candidateList>
        <item>，扣除</item>
      </candidateList>
      <explain/>
      <paraID>5DE1E74F</paraID>
      <start>40</start>
      <end>42</end>
      <status>unmodified</status>
      <modifiedWord/>
      <trackRevisions>false</trackRevisions>
    </reviewItem>
    <reviewItem>
      <errorID>bd5dc3c7-940e-4f5e-a962-75823beb86cc</errorID>
      <errorWord>扣除</errorWord>
      <group>L1_Punc</group>
      <groupName>标点问题</groupName>
      <ability>L2_Punc_CN</ability>
      <abilityName>标点符号问题</abilityName>
      <candidateList>
        <item>，扣除</item>
      </candidateList>
      <explain/>
      <paraID>5DE1E74F</paraID>
      <start>67</start>
      <end>69</end>
      <status>unmodified</status>
      <modifiedWord/>
      <trackRevisions>false</trackRevisions>
    </reviewItem>
    <reviewItem>
      <errorID>054fe916-b3f5-4c38-a675-748ae1f20c6a</errorID>
      <errorWord>5.4</errorWord>
      <group>L1_Format</group>
      <groupName>格式问题</groupName>
      <ability>L2_Ordinal</ability>
      <abilityName>序号格式</abilityName>
      <candidateList>
        <item>5.3</item>
      </candidateList>
      <explain>标题顺序错误，请检查标题顺序是否合理。</explain>
      <paraID>4A0EAE43</paraID>
      <start>0</start>
      <end>3</end>
      <status>unmodified</status>
      <modifiedWord/>
      <trackRevisions>false</trackRevisions>
    </reviewItem>
    <reviewItem>
      <errorID>9a34013c-1623-499b-9ab3-e8bc6b9b30dc</errorID>
      <errorWord>报价</errorWord>
      <group>L1_Word</group>
      <groupName>字词问题</groupName>
      <ability>L2_Typo</ability>
      <abilityName>字词错误</abilityName>
      <candidateList>
        <item> 报价</item>
      </candidateList>
      <explain/>
      <paraID>4A0EAE43</paraID>
      <start>3</start>
      <end>5</end>
      <status>unmodified</status>
      <modifiedWord/>
      <trackRevisions>false</trackRevisions>
    </reviewItem>
  </reviewItems>
  <config/>
</contractReview>
</file>

<file path=customXml/itemProps1.xml><?xml version="1.0" encoding="utf-8"?>
<ds:datastoreItem xmlns:ds="http://schemas.openxmlformats.org/officeDocument/2006/customXml" ds:itemID="{71435FC0-BD08-4340-8CB9-6BA07EDD42F3}">
  <ds:schemaRefs/>
</ds:datastoreItem>
</file>

<file path=docProps/app.xml><?xml version="1.0" encoding="utf-8"?>
<Properties xmlns="http://schemas.openxmlformats.org/officeDocument/2006/extended-properties" xmlns:vt="http://schemas.openxmlformats.org/officeDocument/2006/docPropsVTypes">
  <Template>Normal.dotm</Template>
  <Company>DELL</Company>
  <Pages>4</Pages>
  <Words>4290</Words>
  <Characters>4504</Characters>
  <Lines>33</Lines>
  <Paragraphs>9</Paragraphs>
  <TotalTime>36</TotalTime>
  <ScaleCrop>false</ScaleCrop>
  <LinksUpToDate>false</LinksUpToDate>
  <CharactersWithSpaces>4586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2026-01-20T09:27:00Z</dcterms:created>
  <dc:creator>张婷婷</dc:creator>
  <cp:lastModifiedBy>SMN</cp:lastModifiedBy>
  <cp:lastPrinted>2024-05-27T08:56:00Z</cp:lastPrinted>
  <dcterms:modified xsi:type="dcterms:W3CDTF">2026-08-20T07:47:45Z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2CA040E98C3C4349AE44EC3D51EEE778_13</vt:lpwstr>
  </property>
  <property fmtid="{D5CDD505-2E9C-101B-9397-08002B2CF9AE}" pid="4" name="KSOTemplateDocerSaveRecord">
    <vt:lpwstr>eyJoZGlkIjoiNWI5MzFlZGQ1MWM5ZjJlZGU1ZDlkNWI3M2NjN2I4NDUiLCJ1c2VySWQiOiIzNDQ0ODA3MjQifQ==</vt:lpwstr>
  </property>
</Properties>
</file>