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7F0B6">
      <w:pPr>
        <w:jc w:val="center"/>
        <w:rPr>
          <w:rFonts w:ascii="仿宋_GB2312" w:hAnsi="宋体" w:eastAsia="仿宋_GB2312"/>
          <w:b/>
          <w:sz w:val="32"/>
          <w:szCs w:val="32"/>
        </w:rPr>
      </w:pPr>
      <w:r>
        <w:rPr>
          <w:rFonts w:hint="eastAsia" w:ascii="仿宋_GB2312" w:hAnsi="宋体" w:eastAsia="仿宋_GB2312"/>
          <w:b/>
          <w:sz w:val="32"/>
          <w:szCs w:val="32"/>
        </w:rPr>
        <w:t>南方医科大学深圳口腔医院（坪山）</w:t>
      </w:r>
    </w:p>
    <w:p w14:paraId="2073C4DE">
      <w:pPr>
        <w:jc w:val="center"/>
        <w:rPr>
          <w:rFonts w:ascii="仿宋_GB2312" w:hAnsi="宋体" w:eastAsia="仿宋_GB2312"/>
          <w:b/>
          <w:sz w:val="32"/>
          <w:szCs w:val="32"/>
        </w:rPr>
      </w:pPr>
      <w:r>
        <w:rPr>
          <w:rFonts w:hint="eastAsia" w:ascii="仿宋_GB2312" w:hAnsi="宋体" w:eastAsia="仿宋_GB2312"/>
          <w:b/>
          <w:sz w:val="32"/>
          <w:szCs w:val="32"/>
        </w:rPr>
        <w:t>医疗设备配件采购项目需求</w:t>
      </w:r>
    </w:p>
    <w:p w14:paraId="5BCCF976">
      <w:pPr>
        <w:jc w:val="center"/>
        <w:rPr>
          <w:rFonts w:ascii="仿宋_GB2312" w:hAnsi="宋体" w:eastAsia="仿宋_GB2312"/>
          <w:b/>
          <w:sz w:val="28"/>
          <w:szCs w:val="28"/>
        </w:rPr>
      </w:pPr>
      <w:r>
        <w:rPr>
          <w:rFonts w:hint="eastAsia" w:ascii="仿宋_GB2312" w:hAnsi="宋体" w:eastAsia="仿宋_GB2312"/>
          <w:b/>
          <w:sz w:val="28"/>
          <w:szCs w:val="28"/>
        </w:rPr>
        <w:t>（项目编号：</w:t>
      </w:r>
      <w:r>
        <w:rPr>
          <w:rFonts w:hint="eastAsia" w:ascii="仿宋_GB2312" w:hAnsi="宋体" w:eastAsia="仿宋_GB2312"/>
          <w:b/>
          <w:bCs/>
          <w:sz w:val="28"/>
          <w:szCs w:val="28"/>
        </w:rPr>
        <w:t>NFYKDSZKQ-YLSBPJ-HW-2026080020</w:t>
      </w:r>
      <w:r>
        <w:rPr>
          <w:rFonts w:hint="eastAsia" w:ascii="仿宋_GB2312" w:hAnsi="宋体" w:eastAsia="仿宋_GB2312"/>
          <w:b/>
          <w:sz w:val="28"/>
          <w:szCs w:val="28"/>
        </w:rPr>
        <w:t>）</w:t>
      </w:r>
    </w:p>
    <w:tbl>
      <w:tblPr>
        <w:tblStyle w:val="14"/>
        <w:tblW w:w="10628"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15" w:type="dxa"/>
          <w:left w:w="15" w:type="dxa"/>
          <w:bottom w:w="15" w:type="dxa"/>
          <w:right w:w="15" w:type="dxa"/>
        </w:tblCellMar>
      </w:tblPr>
      <w:tblGrid>
        <w:gridCol w:w="663"/>
        <w:gridCol w:w="6774"/>
        <w:gridCol w:w="1518"/>
        <w:gridCol w:w="1673"/>
      </w:tblGrid>
      <w:tr w14:paraId="537372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01D0546B">
            <w:pPr>
              <w:widowControl/>
              <w:spacing w:before="100" w:beforeAutospacing="1" w:after="100" w:afterAutospacing="1"/>
              <w:rPr>
                <w:rFonts w:ascii="宋体" w:hAnsi="宋体"/>
                <w:kern w:val="0"/>
                <w:sz w:val="20"/>
                <w:szCs w:val="20"/>
              </w:rPr>
            </w:pPr>
            <w:r>
              <w:rPr>
                <w:rFonts w:ascii="宋体" w:hAnsi="宋体"/>
                <w:b/>
                <w:bCs/>
                <w:kern w:val="0"/>
                <w:sz w:val="20"/>
                <w:szCs w:val="20"/>
              </w:rPr>
              <w:t>项目名称</w:t>
            </w:r>
          </w:p>
        </w:tc>
        <w:tc>
          <w:tcPr>
            <w:tcW w:w="6774" w:type="dxa"/>
            <w:vAlign w:val="center"/>
          </w:tcPr>
          <w:p w14:paraId="28DD889D">
            <w:pPr>
              <w:rPr>
                <w:rFonts w:ascii="宋体" w:hAnsi="宋体"/>
                <w:kern w:val="0"/>
                <w:sz w:val="20"/>
                <w:szCs w:val="20"/>
              </w:rPr>
            </w:pPr>
            <w:r>
              <w:rPr>
                <w:rFonts w:hint="eastAsia" w:ascii="宋体" w:hAnsi="宋体"/>
                <w:sz w:val="24"/>
                <w:szCs w:val="24"/>
              </w:rPr>
              <w:t>南方医科大学深圳口腔医院（坪山）医疗设备配件采购项目</w:t>
            </w:r>
          </w:p>
        </w:tc>
        <w:tc>
          <w:tcPr>
            <w:tcW w:w="1518" w:type="dxa"/>
            <w:vAlign w:val="center"/>
          </w:tcPr>
          <w:p w14:paraId="2E7500BC">
            <w:pPr>
              <w:widowControl/>
              <w:spacing w:before="100" w:beforeAutospacing="1" w:after="100" w:afterAutospacing="1"/>
              <w:rPr>
                <w:rFonts w:ascii="宋体" w:hAnsi="宋体"/>
                <w:kern w:val="0"/>
                <w:sz w:val="20"/>
                <w:szCs w:val="20"/>
              </w:rPr>
            </w:pPr>
            <w:r>
              <w:rPr>
                <w:rFonts w:ascii="宋体" w:hAnsi="宋体"/>
                <w:b/>
                <w:bCs/>
                <w:kern w:val="0"/>
                <w:sz w:val="20"/>
                <w:szCs w:val="20"/>
              </w:rPr>
              <w:t>是否预选项目</w:t>
            </w:r>
          </w:p>
        </w:tc>
        <w:tc>
          <w:tcPr>
            <w:tcW w:w="1673" w:type="dxa"/>
            <w:vAlign w:val="center"/>
          </w:tcPr>
          <w:p w14:paraId="1FE514D3">
            <w:pPr>
              <w:rPr>
                <w:rFonts w:ascii="宋体" w:hAnsi="宋体"/>
                <w:sz w:val="24"/>
                <w:szCs w:val="24"/>
              </w:rPr>
            </w:pPr>
            <w:r>
              <w:rPr>
                <w:rFonts w:hint="eastAsia" w:ascii="宋体" w:hAnsi="宋体"/>
                <w:sz w:val="24"/>
                <w:szCs w:val="24"/>
              </w:rPr>
              <w:t>否</w:t>
            </w:r>
          </w:p>
        </w:tc>
      </w:tr>
      <w:tr w14:paraId="47E2B7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6292BB2E">
            <w:pPr>
              <w:widowControl/>
              <w:spacing w:before="100" w:beforeAutospacing="1" w:after="100" w:afterAutospacing="1"/>
              <w:rPr>
                <w:rFonts w:ascii="宋体" w:hAnsi="宋体"/>
                <w:kern w:val="0"/>
                <w:sz w:val="20"/>
                <w:szCs w:val="20"/>
              </w:rPr>
            </w:pPr>
            <w:r>
              <w:rPr>
                <w:rFonts w:ascii="宋体" w:hAnsi="宋体"/>
                <w:b/>
                <w:bCs/>
                <w:kern w:val="0"/>
                <w:sz w:val="20"/>
                <w:szCs w:val="20"/>
              </w:rPr>
              <w:t>预算限额（元）</w:t>
            </w:r>
          </w:p>
        </w:tc>
        <w:tc>
          <w:tcPr>
            <w:tcW w:w="6774" w:type="dxa"/>
            <w:tcBorders>
              <w:right w:val="single" w:color="auto" w:sz="4" w:space="0"/>
            </w:tcBorders>
            <w:vAlign w:val="center"/>
          </w:tcPr>
          <w:p w14:paraId="1C6065F1">
            <w:r>
              <w:rPr>
                <w:rFonts w:hint="eastAsia" w:ascii="宋体" w:hAnsi="宋体"/>
                <w:sz w:val="24"/>
                <w:szCs w:val="24"/>
              </w:rPr>
              <w:t>39000元</w:t>
            </w:r>
          </w:p>
        </w:tc>
        <w:tc>
          <w:tcPr>
            <w:tcW w:w="1518" w:type="dxa"/>
            <w:tcBorders>
              <w:left w:val="single" w:color="auto" w:sz="4" w:space="0"/>
              <w:right w:val="single" w:color="auto" w:sz="4" w:space="0"/>
            </w:tcBorders>
            <w:vAlign w:val="center"/>
          </w:tcPr>
          <w:p w14:paraId="4B161F5E">
            <w:pPr>
              <w:widowControl/>
              <w:spacing w:before="100" w:beforeAutospacing="1" w:after="100" w:afterAutospacing="1"/>
              <w:rPr>
                <w:rFonts w:ascii="宋体" w:hAnsi="宋体"/>
                <w:b/>
                <w:bCs/>
                <w:kern w:val="0"/>
                <w:sz w:val="20"/>
                <w:szCs w:val="20"/>
              </w:rPr>
            </w:pPr>
            <w:r>
              <w:rPr>
                <w:rFonts w:hint="eastAsia" w:ascii="宋体" w:hAnsi="宋体"/>
                <w:b/>
                <w:bCs/>
                <w:kern w:val="0"/>
                <w:sz w:val="20"/>
                <w:szCs w:val="20"/>
              </w:rPr>
              <w:t>采购</w:t>
            </w:r>
            <w:r>
              <w:rPr>
                <w:rFonts w:ascii="宋体" w:hAnsi="宋体"/>
                <w:b/>
                <w:bCs/>
                <w:kern w:val="0"/>
                <w:sz w:val="20"/>
                <w:szCs w:val="20"/>
              </w:rPr>
              <w:t>方式</w:t>
            </w:r>
          </w:p>
        </w:tc>
        <w:tc>
          <w:tcPr>
            <w:tcW w:w="1673" w:type="dxa"/>
            <w:tcBorders>
              <w:left w:val="single" w:color="auto" w:sz="4" w:space="0"/>
            </w:tcBorders>
            <w:vAlign w:val="center"/>
          </w:tcPr>
          <w:p w14:paraId="6051687D">
            <w:pPr>
              <w:rPr>
                <w:rFonts w:hint="eastAsia" w:ascii="宋体" w:hAnsi="宋体" w:eastAsia="宋体"/>
                <w:sz w:val="24"/>
                <w:szCs w:val="24"/>
                <w:lang w:val="en-US" w:eastAsia="zh-CN"/>
              </w:rPr>
            </w:pPr>
            <w:r>
              <w:rPr>
                <w:rFonts w:hint="eastAsia" w:ascii="宋体" w:hAnsi="宋体"/>
                <w:sz w:val="24"/>
                <w:szCs w:val="24"/>
              </w:rPr>
              <w:t>公开</w:t>
            </w:r>
            <w:r>
              <w:rPr>
                <w:rFonts w:hint="eastAsia" w:ascii="宋体" w:hAnsi="宋体"/>
                <w:sz w:val="24"/>
                <w:szCs w:val="24"/>
                <w:lang w:val="en-US" w:eastAsia="zh-CN"/>
              </w:rPr>
              <w:t>询价</w:t>
            </w:r>
          </w:p>
        </w:tc>
      </w:tr>
      <w:tr w14:paraId="1AD119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0D5D53E1">
            <w:pPr>
              <w:rPr>
                <w:rFonts w:ascii="宋体" w:hAnsi="宋体"/>
                <w:kern w:val="0"/>
                <w:sz w:val="20"/>
                <w:szCs w:val="20"/>
              </w:rPr>
            </w:pPr>
            <w:r>
              <w:rPr>
                <w:rFonts w:hint="eastAsia" w:ascii="宋体" w:hAnsi="宋体"/>
                <w:kern w:val="0"/>
                <w:sz w:val="20"/>
                <w:szCs w:val="20"/>
              </w:rPr>
              <w:t xml:space="preserve">项目背景 </w:t>
            </w:r>
          </w:p>
        </w:tc>
        <w:tc>
          <w:tcPr>
            <w:tcW w:w="9965" w:type="dxa"/>
            <w:gridSpan w:val="3"/>
            <w:vAlign w:val="center"/>
          </w:tcPr>
          <w:p w14:paraId="7423F2EE">
            <w:r>
              <w:rPr>
                <w:rFonts w:hint="eastAsia"/>
              </w:rPr>
              <w:t>科室</w:t>
            </w:r>
            <w:r>
              <w:t>现有诊疗设备</w:t>
            </w:r>
            <w:r>
              <w:rPr>
                <w:rFonts w:hint="eastAsia"/>
              </w:rPr>
              <w:t>配件损耗老化，</w:t>
            </w:r>
            <w:r>
              <w:t>需更换配件保障设备运转</w:t>
            </w:r>
            <w:r>
              <w:rPr>
                <w:rFonts w:hint="eastAsia"/>
              </w:rPr>
              <w:t>，</w:t>
            </w:r>
            <w:r>
              <w:t>旨在保障临床诊疗工作平稳运行、满足患者就医需求。</w:t>
            </w:r>
          </w:p>
        </w:tc>
      </w:tr>
      <w:tr w14:paraId="6DD15E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0FCD9E4A">
            <w:pPr>
              <w:rPr>
                <w:rFonts w:ascii="宋体" w:hAnsi="宋体"/>
                <w:kern w:val="0"/>
                <w:sz w:val="20"/>
                <w:szCs w:val="20"/>
              </w:rPr>
            </w:pPr>
            <w:r>
              <w:rPr>
                <w:rFonts w:hint="eastAsia" w:ascii="宋体" w:hAnsi="宋体"/>
                <w:kern w:val="0"/>
                <w:sz w:val="20"/>
                <w:szCs w:val="20"/>
              </w:rPr>
              <w:t xml:space="preserve">参与投标的单位资质要求  </w:t>
            </w:r>
          </w:p>
        </w:tc>
        <w:tc>
          <w:tcPr>
            <w:tcW w:w="9965" w:type="dxa"/>
            <w:gridSpan w:val="3"/>
            <w:vAlign w:val="center"/>
          </w:tcPr>
          <w:p w14:paraId="738EB7EA">
            <w:pPr>
              <w:ind w:firstLine="455" w:firstLineChars="207"/>
              <w:rPr>
                <w:rFonts w:ascii="宋体" w:hAnsi="宋体"/>
                <w:sz w:val="22"/>
              </w:rPr>
            </w:pPr>
            <w:r>
              <w:rPr>
                <w:rFonts w:hint="eastAsia" w:ascii="宋体" w:hAnsi="宋体"/>
                <w:sz w:val="22"/>
              </w:rPr>
              <w:t>（1）参与投标的企业必须具有独立法人资格（提供营业执照原件扫描件并加盖参与投标的企业公章）。</w:t>
            </w:r>
          </w:p>
          <w:p w14:paraId="20D83870">
            <w:pPr>
              <w:ind w:firstLine="455" w:firstLineChars="207"/>
              <w:rPr>
                <w:rFonts w:ascii="宋体" w:hAnsi="宋体"/>
                <w:sz w:val="22"/>
              </w:rPr>
            </w:pPr>
            <w:r>
              <w:rPr>
                <w:rFonts w:hint="eastAsia" w:ascii="宋体" w:hAnsi="宋体"/>
                <w:sz w:val="22"/>
              </w:rPr>
              <w:t>（2）本项目不接受联合体参与投标，不允许分包转包，标注“拒绝进口”的仅接受使用国产产品参与投标，标注“允许进口”的则接受使用进口或国产产品参与投标(由参与投标的企业在《政府采购投标及履约承诺函》中做出声明）。</w:t>
            </w:r>
          </w:p>
          <w:p w14:paraId="4C978A6E">
            <w:pPr>
              <w:ind w:firstLine="455" w:firstLineChars="207"/>
              <w:rPr>
                <w:rFonts w:ascii="宋体" w:hAnsi="宋体"/>
                <w:sz w:val="22"/>
              </w:rPr>
            </w:pPr>
            <w:r>
              <w:rPr>
                <w:rFonts w:hint="eastAsia" w:ascii="宋体" w:hAnsi="宋体"/>
                <w:sz w:val="22"/>
              </w:rPr>
              <w:t>（3）参与投标的企业近三年内无行贿犯罪记录（由参与投标的企业在《政府采购投标及履约承诺函》中做出声明）。</w:t>
            </w:r>
          </w:p>
          <w:p w14:paraId="3FDEB625">
            <w:pPr>
              <w:ind w:firstLine="455" w:firstLineChars="207"/>
              <w:rPr>
                <w:rFonts w:ascii="宋体" w:hAnsi="宋体"/>
                <w:sz w:val="22"/>
              </w:rPr>
            </w:pPr>
            <w:r>
              <w:rPr>
                <w:rFonts w:hint="eastAsia" w:ascii="宋体" w:hAnsi="宋体"/>
                <w:sz w:val="22"/>
              </w:rPr>
              <w:t>（4）参与本项目投标的企业未被列入“信用中国”网站(www.creditchina.gov.cn)以下情形之一：①记录失信被执行人，②重大税收违法案件当事人名单（由参与投标的企业提供“信用中国”网站①记录失信被执行人名单查询截图、②重大税收违法案件当事人名单查询截图）。</w:t>
            </w:r>
          </w:p>
          <w:p w14:paraId="187ECAEC">
            <w:pPr>
              <w:ind w:firstLine="455" w:firstLineChars="207"/>
              <w:rPr>
                <w:rFonts w:ascii="宋体" w:hAnsi="宋体"/>
                <w:sz w:val="22"/>
              </w:rPr>
            </w:pPr>
            <w:r>
              <w:rPr>
                <w:rFonts w:hint="eastAsia" w:ascii="宋体" w:hAnsi="宋体"/>
                <w:sz w:val="22"/>
              </w:rPr>
              <w:t>（5）参与本项目投标的企业不存在被有关部门禁止参与政府采购活动且在有效期内的情况（由参与投标的企业在《政府采购投标及履约承诺函》中做出声明）。</w:t>
            </w:r>
          </w:p>
          <w:p w14:paraId="11F840DA">
            <w:pPr>
              <w:ind w:firstLine="455" w:firstLineChars="207"/>
            </w:pPr>
            <w:r>
              <w:rPr>
                <w:rFonts w:hint="eastAsia" w:ascii="宋体" w:hAnsi="宋体"/>
                <w:sz w:val="22"/>
              </w:rPr>
              <w:t>（6）参与投标的企业法定代表人为同一人或者存在直接控股、管理关系的不同供应商，不得同时参加本项目投标活动。</w:t>
            </w:r>
          </w:p>
        </w:tc>
      </w:tr>
      <w:tr w14:paraId="643C7C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cantSplit/>
          <w:trHeight w:val="1805" w:hRule="atLeast"/>
          <w:tblCellSpacing w:w="0" w:type="dxa"/>
          <w:jc w:val="center"/>
        </w:trPr>
        <w:tc>
          <w:tcPr>
            <w:tcW w:w="663" w:type="dxa"/>
            <w:vAlign w:val="center"/>
          </w:tcPr>
          <w:p w14:paraId="206519B0">
            <w:pPr>
              <w:widowControl/>
              <w:spacing w:before="100" w:beforeAutospacing="1" w:after="100" w:afterAutospacing="1"/>
              <w:jc w:val="left"/>
              <w:rPr>
                <w:rFonts w:ascii="宋体" w:hAnsi="宋体"/>
                <w:b/>
                <w:kern w:val="0"/>
                <w:sz w:val="20"/>
                <w:szCs w:val="20"/>
              </w:rPr>
            </w:pPr>
            <w:r>
              <w:rPr>
                <w:rFonts w:hint="eastAsia" w:ascii="宋体" w:hAnsi="宋体"/>
                <w:b/>
                <w:kern w:val="0"/>
                <w:sz w:val="20"/>
                <w:szCs w:val="20"/>
              </w:rPr>
              <w:t xml:space="preserve">货物清单 </w:t>
            </w:r>
          </w:p>
        </w:tc>
        <w:tc>
          <w:tcPr>
            <w:tcW w:w="9965" w:type="dxa"/>
            <w:gridSpan w:val="3"/>
            <w:vAlign w:val="center"/>
          </w:tcPr>
          <w:tbl>
            <w:tblPr>
              <w:tblStyle w:val="14"/>
              <w:tblW w:w="9408" w:type="dxa"/>
              <w:tblInd w:w="0" w:type="dxa"/>
              <w:tblLayout w:type="autofit"/>
              <w:tblCellMar>
                <w:top w:w="0" w:type="dxa"/>
                <w:left w:w="108" w:type="dxa"/>
                <w:bottom w:w="0" w:type="dxa"/>
                <w:right w:w="108" w:type="dxa"/>
              </w:tblCellMar>
            </w:tblPr>
            <w:tblGrid>
              <w:gridCol w:w="698"/>
              <w:gridCol w:w="2979"/>
              <w:gridCol w:w="1377"/>
              <w:gridCol w:w="997"/>
              <w:gridCol w:w="1776"/>
              <w:gridCol w:w="1581"/>
            </w:tblGrid>
            <w:tr w14:paraId="45A61223">
              <w:tblPrEx>
                <w:tblCellMar>
                  <w:top w:w="0" w:type="dxa"/>
                  <w:left w:w="108" w:type="dxa"/>
                  <w:bottom w:w="0" w:type="dxa"/>
                  <w:right w:w="108" w:type="dxa"/>
                </w:tblCellMar>
              </w:tblPrEx>
              <w:trPr>
                <w:trHeight w:val="405" w:hRule="atLeast"/>
              </w:trPr>
              <w:tc>
                <w:tcPr>
                  <w:tcW w:w="371" w:type="pct"/>
                  <w:tcBorders>
                    <w:top w:val="single" w:color="auto" w:sz="4" w:space="0"/>
                    <w:left w:val="single" w:color="auto" w:sz="4" w:space="0"/>
                    <w:bottom w:val="single" w:color="auto" w:sz="4" w:space="0"/>
                    <w:right w:val="single" w:color="auto" w:sz="4" w:space="0"/>
                  </w:tcBorders>
                  <w:noWrap/>
                  <w:vAlign w:val="center"/>
                </w:tcPr>
                <w:p w14:paraId="711E0C32">
                  <w:pPr>
                    <w:widowControl/>
                    <w:jc w:val="center"/>
                    <w:rPr>
                      <w:rFonts w:ascii="宋体" w:hAnsi="宋体"/>
                      <w:b/>
                      <w:bCs/>
                      <w:color w:val="000000"/>
                      <w:kern w:val="0"/>
                      <w:sz w:val="24"/>
                      <w:szCs w:val="24"/>
                    </w:rPr>
                  </w:pPr>
                  <w:r>
                    <w:rPr>
                      <w:rFonts w:hint="eastAsia" w:ascii="宋体" w:hAnsi="宋体"/>
                      <w:b/>
                      <w:bCs/>
                      <w:color w:val="000000"/>
                      <w:kern w:val="0"/>
                      <w:sz w:val="24"/>
                      <w:szCs w:val="24"/>
                    </w:rPr>
                    <w:t>序号</w:t>
                  </w:r>
                </w:p>
              </w:tc>
              <w:tc>
                <w:tcPr>
                  <w:tcW w:w="1583" w:type="pct"/>
                  <w:tcBorders>
                    <w:top w:val="single" w:color="auto" w:sz="4" w:space="0"/>
                    <w:left w:val="nil"/>
                    <w:bottom w:val="single" w:color="auto" w:sz="4" w:space="0"/>
                    <w:right w:val="single" w:color="auto" w:sz="4" w:space="0"/>
                  </w:tcBorders>
                  <w:vAlign w:val="center"/>
                </w:tcPr>
                <w:p w14:paraId="0E72CA1F">
                  <w:pPr>
                    <w:widowControl/>
                    <w:jc w:val="center"/>
                    <w:rPr>
                      <w:rFonts w:ascii="宋体" w:hAnsi="宋体"/>
                      <w:b/>
                      <w:bCs/>
                      <w:color w:val="000000"/>
                      <w:kern w:val="0"/>
                      <w:sz w:val="24"/>
                      <w:szCs w:val="24"/>
                    </w:rPr>
                  </w:pPr>
                  <w:r>
                    <w:rPr>
                      <w:rFonts w:hint="eastAsia" w:ascii="宋体" w:hAnsi="宋体"/>
                      <w:b/>
                      <w:bCs/>
                      <w:color w:val="000000"/>
                      <w:kern w:val="0"/>
                      <w:sz w:val="24"/>
                      <w:szCs w:val="24"/>
                    </w:rPr>
                    <w:t>货物名称</w:t>
                  </w:r>
                </w:p>
              </w:tc>
              <w:tc>
                <w:tcPr>
                  <w:tcW w:w="732" w:type="pct"/>
                  <w:tcBorders>
                    <w:top w:val="single" w:color="auto" w:sz="4" w:space="0"/>
                    <w:left w:val="nil"/>
                    <w:bottom w:val="single" w:color="auto" w:sz="4" w:space="0"/>
                    <w:right w:val="single" w:color="auto" w:sz="4" w:space="0"/>
                  </w:tcBorders>
                  <w:noWrap/>
                  <w:vAlign w:val="center"/>
                </w:tcPr>
                <w:p w14:paraId="5B827CDE">
                  <w:pPr>
                    <w:widowControl/>
                    <w:jc w:val="center"/>
                    <w:rPr>
                      <w:rFonts w:ascii="宋体" w:hAnsi="宋体"/>
                      <w:b/>
                      <w:bCs/>
                      <w:color w:val="000000"/>
                      <w:kern w:val="0"/>
                      <w:sz w:val="24"/>
                      <w:szCs w:val="24"/>
                    </w:rPr>
                  </w:pPr>
                  <w:r>
                    <w:rPr>
                      <w:rFonts w:hint="eastAsia" w:ascii="宋体" w:hAnsi="宋体"/>
                      <w:b/>
                      <w:bCs/>
                      <w:color w:val="000000"/>
                      <w:kern w:val="0"/>
                      <w:sz w:val="24"/>
                      <w:szCs w:val="24"/>
                    </w:rPr>
                    <w:t>设备数量</w:t>
                  </w:r>
                </w:p>
              </w:tc>
              <w:tc>
                <w:tcPr>
                  <w:tcW w:w="530" w:type="pct"/>
                  <w:tcBorders>
                    <w:top w:val="single" w:color="auto" w:sz="4" w:space="0"/>
                    <w:left w:val="nil"/>
                    <w:bottom w:val="single" w:color="auto" w:sz="4" w:space="0"/>
                    <w:right w:val="single" w:color="auto" w:sz="4" w:space="0"/>
                  </w:tcBorders>
                  <w:noWrap/>
                  <w:vAlign w:val="center"/>
                </w:tcPr>
                <w:p w14:paraId="666C90F3">
                  <w:pPr>
                    <w:widowControl/>
                    <w:jc w:val="center"/>
                    <w:rPr>
                      <w:rFonts w:ascii="宋体" w:hAnsi="宋体"/>
                      <w:b/>
                      <w:bCs/>
                      <w:color w:val="000000"/>
                      <w:kern w:val="0"/>
                      <w:sz w:val="24"/>
                      <w:szCs w:val="24"/>
                    </w:rPr>
                  </w:pPr>
                  <w:r>
                    <w:rPr>
                      <w:rFonts w:hint="eastAsia" w:ascii="宋体" w:hAnsi="宋体"/>
                      <w:b/>
                      <w:bCs/>
                      <w:color w:val="000000"/>
                      <w:kern w:val="0"/>
                      <w:sz w:val="24"/>
                      <w:szCs w:val="24"/>
                    </w:rPr>
                    <w:t>单位</w:t>
                  </w:r>
                </w:p>
              </w:tc>
              <w:tc>
                <w:tcPr>
                  <w:tcW w:w="944" w:type="pct"/>
                  <w:tcBorders>
                    <w:top w:val="single" w:color="auto" w:sz="4" w:space="0"/>
                    <w:left w:val="nil"/>
                    <w:bottom w:val="single" w:color="auto" w:sz="4" w:space="0"/>
                    <w:right w:val="single" w:color="auto" w:sz="4" w:space="0"/>
                  </w:tcBorders>
                  <w:noWrap/>
                  <w:vAlign w:val="center"/>
                </w:tcPr>
                <w:p w14:paraId="2161BCDC">
                  <w:pPr>
                    <w:widowControl/>
                    <w:jc w:val="center"/>
                    <w:rPr>
                      <w:rFonts w:ascii="宋体" w:hAnsi="宋体"/>
                      <w:b/>
                      <w:bCs/>
                      <w:color w:val="000000"/>
                      <w:kern w:val="0"/>
                      <w:sz w:val="24"/>
                      <w:szCs w:val="24"/>
                    </w:rPr>
                  </w:pPr>
                  <w:r>
                    <w:rPr>
                      <w:rFonts w:hint="eastAsia" w:ascii="宋体" w:hAnsi="宋体"/>
                      <w:b/>
                      <w:bCs/>
                      <w:sz w:val="22"/>
                    </w:rPr>
                    <w:t>单价限额（元）</w:t>
                  </w:r>
                </w:p>
              </w:tc>
              <w:tc>
                <w:tcPr>
                  <w:tcW w:w="840" w:type="pct"/>
                  <w:tcBorders>
                    <w:top w:val="single" w:color="auto" w:sz="4" w:space="0"/>
                    <w:left w:val="nil"/>
                    <w:bottom w:val="single" w:color="auto" w:sz="4" w:space="0"/>
                    <w:right w:val="single" w:color="auto" w:sz="4" w:space="0"/>
                  </w:tcBorders>
                  <w:noWrap/>
                  <w:vAlign w:val="center"/>
                </w:tcPr>
                <w:p w14:paraId="4C6E2EF7">
                  <w:pPr>
                    <w:widowControl/>
                    <w:rPr>
                      <w:rFonts w:ascii="宋体" w:hAnsi="宋体"/>
                      <w:b/>
                      <w:bCs/>
                      <w:sz w:val="22"/>
                    </w:rPr>
                  </w:pPr>
                  <w:r>
                    <w:rPr>
                      <w:rFonts w:hint="eastAsia" w:ascii="宋体" w:hAnsi="宋体"/>
                      <w:b/>
                      <w:bCs/>
                      <w:sz w:val="22"/>
                    </w:rPr>
                    <w:t>备注</w:t>
                  </w:r>
                </w:p>
              </w:tc>
            </w:tr>
            <w:tr w14:paraId="1E32E7B3">
              <w:tblPrEx>
                <w:tblCellMar>
                  <w:top w:w="0" w:type="dxa"/>
                  <w:left w:w="108" w:type="dxa"/>
                  <w:bottom w:w="0" w:type="dxa"/>
                  <w:right w:w="108" w:type="dxa"/>
                </w:tblCellMar>
              </w:tblPrEx>
              <w:trPr>
                <w:trHeight w:val="405" w:hRule="atLeast"/>
              </w:trPr>
              <w:tc>
                <w:tcPr>
                  <w:tcW w:w="371" w:type="pct"/>
                  <w:tcBorders>
                    <w:top w:val="single" w:color="auto" w:sz="4" w:space="0"/>
                    <w:left w:val="single" w:color="auto" w:sz="4" w:space="0"/>
                    <w:bottom w:val="single" w:color="auto" w:sz="4" w:space="0"/>
                    <w:right w:val="single" w:color="auto" w:sz="4" w:space="0"/>
                  </w:tcBorders>
                  <w:noWrap/>
                  <w:vAlign w:val="center"/>
                </w:tcPr>
                <w:p w14:paraId="6DAF95C5">
                  <w:pPr>
                    <w:widowControl/>
                    <w:jc w:val="center"/>
                    <w:rPr>
                      <w:rFonts w:ascii="宋体" w:hAnsi="宋体"/>
                      <w:color w:val="000000"/>
                      <w:kern w:val="0"/>
                      <w:sz w:val="24"/>
                      <w:szCs w:val="24"/>
                    </w:rPr>
                  </w:pPr>
                  <w:r>
                    <w:rPr>
                      <w:rFonts w:hint="eastAsia" w:ascii="宋体" w:hAnsi="宋体"/>
                      <w:color w:val="000000"/>
                      <w:kern w:val="0"/>
                      <w:sz w:val="24"/>
                      <w:szCs w:val="24"/>
                    </w:rPr>
                    <w:t>1</w:t>
                  </w:r>
                </w:p>
              </w:tc>
              <w:tc>
                <w:tcPr>
                  <w:tcW w:w="1583" w:type="pct"/>
                  <w:tcBorders>
                    <w:top w:val="single" w:color="auto" w:sz="4" w:space="0"/>
                    <w:left w:val="nil"/>
                    <w:bottom w:val="single" w:color="auto" w:sz="4" w:space="0"/>
                    <w:right w:val="single" w:color="auto" w:sz="4" w:space="0"/>
                  </w:tcBorders>
                  <w:vAlign w:val="center"/>
                </w:tcPr>
                <w:p w14:paraId="69388758">
                  <w:pPr>
                    <w:widowControl/>
                    <w:jc w:val="center"/>
                    <w:rPr>
                      <w:rFonts w:ascii="宋体" w:hAnsi="宋体"/>
                      <w:color w:val="000000"/>
                      <w:kern w:val="0"/>
                      <w:sz w:val="24"/>
                      <w:szCs w:val="24"/>
                    </w:rPr>
                  </w:pPr>
                  <w:r>
                    <w:rPr>
                      <w:rFonts w:hint="eastAsia" w:ascii="宋体" w:hAnsi="宋体"/>
                      <w:kern w:val="0"/>
                      <w:szCs w:val="21"/>
                    </w:rPr>
                    <w:t>牙周治疗仪</w:t>
                  </w:r>
                  <w:r>
                    <w:rPr>
                      <w:rFonts w:hint="eastAsia" w:ascii="宋体" w:hAnsi="宋体"/>
                      <w:color w:val="000000"/>
                      <w:kern w:val="0"/>
                      <w:sz w:val="24"/>
                      <w:szCs w:val="24"/>
                    </w:rPr>
                    <w:t>配件碳棒</w:t>
                  </w:r>
                </w:p>
              </w:tc>
              <w:tc>
                <w:tcPr>
                  <w:tcW w:w="732" w:type="pct"/>
                  <w:tcBorders>
                    <w:top w:val="single" w:color="auto" w:sz="4" w:space="0"/>
                    <w:left w:val="nil"/>
                    <w:bottom w:val="single" w:color="auto" w:sz="4" w:space="0"/>
                    <w:right w:val="single" w:color="auto" w:sz="4" w:space="0"/>
                  </w:tcBorders>
                  <w:noWrap/>
                  <w:vAlign w:val="center"/>
                </w:tcPr>
                <w:p w14:paraId="0917B25F">
                  <w:pPr>
                    <w:widowControl/>
                    <w:jc w:val="center"/>
                    <w:rPr>
                      <w:rFonts w:ascii="宋体" w:hAnsi="宋体"/>
                      <w:color w:val="000000"/>
                      <w:kern w:val="0"/>
                      <w:sz w:val="24"/>
                      <w:szCs w:val="24"/>
                    </w:rPr>
                  </w:pPr>
                  <w:r>
                    <w:rPr>
                      <w:rFonts w:ascii="宋体" w:hAnsi="宋体"/>
                      <w:color w:val="000000"/>
                      <w:kern w:val="0"/>
                      <w:sz w:val="24"/>
                      <w:szCs w:val="24"/>
                    </w:rPr>
                    <w:t>5</w:t>
                  </w:r>
                </w:p>
              </w:tc>
              <w:tc>
                <w:tcPr>
                  <w:tcW w:w="530" w:type="pct"/>
                  <w:tcBorders>
                    <w:top w:val="single" w:color="auto" w:sz="4" w:space="0"/>
                    <w:left w:val="nil"/>
                    <w:bottom w:val="single" w:color="auto" w:sz="4" w:space="0"/>
                    <w:right w:val="single" w:color="auto" w:sz="4" w:space="0"/>
                  </w:tcBorders>
                  <w:noWrap/>
                  <w:vAlign w:val="center"/>
                </w:tcPr>
                <w:p w14:paraId="51FD8DF7">
                  <w:pPr>
                    <w:widowControl/>
                    <w:jc w:val="center"/>
                    <w:rPr>
                      <w:rFonts w:ascii="宋体" w:hAnsi="宋体"/>
                      <w:color w:val="000000"/>
                      <w:kern w:val="0"/>
                      <w:sz w:val="24"/>
                      <w:szCs w:val="24"/>
                    </w:rPr>
                  </w:pPr>
                  <w:r>
                    <w:rPr>
                      <w:rFonts w:hint="eastAsia" w:ascii="宋体" w:hAnsi="宋体"/>
                      <w:color w:val="000000"/>
                      <w:kern w:val="0"/>
                      <w:sz w:val="24"/>
                      <w:szCs w:val="24"/>
                    </w:rPr>
                    <w:t>根</w:t>
                  </w:r>
                </w:p>
              </w:tc>
              <w:tc>
                <w:tcPr>
                  <w:tcW w:w="944" w:type="pct"/>
                  <w:tcBorders>
                    <w:top w:val="single" w:color="auto" w:sz="4" w:space="0"/>
                    <w:left w:val="nil"/>
                    <w:bottom w:val="single" w:color="auto" w:sz="4" w:space="0"/>
                    <w:right w:val="single" w:color="auto" w:sz="4" w:space="0"/>
                  </w:tcBorders>
                  <w:noWrap/>
                  <w:vAlign w:val="center"/>
                </w:tcPr>
                <w:p w14:paraId="6C7E66A4">
                  <w:pPr>
                    <w:widowControl/>
                    <w:jc w:val="center"/>
                    <w:rPr>
                      <w:rFonts w:ascii="宋体" w:hAnsi="宋体"/>
                      <w:color w:val="000000"/>
                      <w:kern w:val="0"/>
                      <w:sz w:val="24"/>
                      <w:szCs w:val="24"/>
                    </w:rPr>
                  </w:pPr>
                  <w:r>
                    <w:rPr>
                      <w:rFonts w:ascii="宋体" w:hAnsi="宋体"/>
                      <w:color w:val="000000"/>
                      <w:kern w:val="0"/>
                      <w:sz w:val="24"/>
                      <w:szCs w:val="24"/>
                    </w:rPr>
                    <w:t>4</w:t>
                  </w:r>
                  <w:r>
                    <w:rPr>
                      <w:rFonts w:hint="eastAsia" w:ascii="宋体" w:hAnsi="宋体"/>
                      <w:color w:val="000000"/>
                      <w:kern w:val="0"/>
                      <w:sz w:val="24"/>
                      <w:szCs w:val="24"/>
                    </w:rPr>
                    <w:t>6</w:t>
                  </w:r>
                  <w:r>
                    <w:rPr>
                      <w:rFonts w:ascii="宋体" w:hAnsi="宋体"/>
                      <w:color w:val="000000"/>
                      <w:kern w:val="0"/>
                      <w:sz w:val="24"/>
                      <w:szCs w:val="24"/>
                    </w:rPr>
                    <w:t>00</w:t>
                  </w:r>
                </w:p>
              </w:tc>
              <w:tc>
                <w:tcPr>
                  <w:tcW w:w="840" w:type="pct"/>
                  <w:tcBorders>
                    <w:top w:val="single" w:color="auto" w:sz="4" w:space="0"/>
                    <w:left w:val="nil"/>
                    <w:bottom w:val="single" w:color="auto" w:sz="4" w:space="0"/>
                    <w:right w:val="single" w:color="auto" w:sz="4" w:space="0"/>
                  </w:tcBorders>
                  <w:noWrap/>
                  <w:vAlign w:val="center"/>
                </w:tcPr>
                <w:p w14:paraId="1943928D">
                  <w:pPr>
                    <w:widowControl/>
                    <w:rPr>
                      <w:rFonts w:ascii="宋体" w:hAnsi="宋体"/>
                      <w:color w:val="000000"/>
                      <w:kern w:val="0"/>
                      <w:sz w:val="24"/>
                      <w:szCs w:val="24"/>
                    </w:rPr>
                  </w:pPr>
                  <w:r>
                    <w:rPr>
                      <w:rFonts w:hint="eastAsia" w:ascii="宋体" w:hAnsi="宋体"/>
                      <w:color w:val="000000"/>
                      <w:kern w:val="0"/>
                      <w:sz w:val="24"/>
                      <w:szCs w:val="24"/>
                    </w:rPr>
                    <w:t>拒绝进口</w:t>
                  </w:r>
                </w:p>
              </w:tc>
            </w:tr>
            <w:tr w14:paraId="1C51531A">
              <w:tblPrEx>
                <w:tblCellMar>
                  <w:top w:w="0" w:type="dxa"/>
                  <w:left w:w="108" w:type="dxa"/>
                  <w:bottom w:w="0" w:type="dxa"/>
                  <w:right w:w="108" w:type="dxa"/>
                </w:tblCellMar>
              </w:tblPrEx>
              <w:trPr>
                <w:trHeight w:val="405" w:hRule="atLeast"/>
              </w:trPr>
              <w:tc>
                <w:tcPr>
                  <w:tcW w:w="371" w:type="pct"/>
                  <w:tcBorders>
                    <w:top w:val="single" w:color="auto" w:sz="4" w:space="0"/>
                    <w:left w:val="single" w:color="auto" w:sz="4" w:space="0"/>
                    <w:bottom w:val="single" w:color="auto" w:sz="4" w:space="0"/>
                    <w:right w:val="single" w:color="auto" w:sz="4" w:space="0"/>
                  </w:tcBorders>
                  <w:noWrap/>
                  <w:vAlign w:val="center"/>
                </w:tcPr>
                <w:p w14:paraId="2F576A38">
                  <w:pPr>
                    <w:widowControl/>
                    <w:jc w:val="center"/>
                    <w:rPr>
                      <w:rFonts w:ascii="宋体" w:hAnsi="宋体"/>
                      <w:color w:val="000000"/>
                      <w:kern w:val="0"/>
                      <w:sz w:val="24"/>
                      <w:szCs w:val="24"/>
                    </w:rPr>
                  </w:pPr>
                  <w:r>
                    <w:rPr>
                      <w:rFonts w:hint="eastAsia" w:ascii="宋体" w:hAnsi="宋体"/>
                      <w:color w:val="000000"/>
                      <w:kern w:val="0"/>
                      <w:sz w:val="24"/>
                      <w:szCs w:val="24"/>
                    </w:rPr>
                    <w:t>2</w:t>
                  </w:r>
                </w:p>
              </w:tc>
              <w:tc>
                <w:tcPr>
                  <w:tcW w:w="1583" w:type="pct"/>
                  <w:tcBorders>
                    <w:top w:val="single" w:color="auto" w:sz="4" w:space="0"/>
                    <w:left w:val="nil"/>
                    <w:bottom w:val="single" w:color="auto" w:sz="4" w:space="0"/>
                    <w:right w:val="single" w:color="auto" w:sz="4" w:space="0"/>
                  </w:tcBorders>
                  <w:vAlign w:val="center"/>
                </w:tcPr>
                <w:p w14:paraId="14B3DDFF">
                  <w:pPr>
                    <w:widowControl/>
                    <w:jc w:val="center"/>
                    <w:rPr>
                      <w:rFonts w:ascii="宋体" w:hAnsi="宋体"/>
                      <w:color w:val="000000"/>
                      <w:kern w:val="0"/>
                      <w:sz w:val="24"/>
                      <w:szCs w:val="24"/>
                    </w:rPr>
                  </w:pPr>
                  <w:r>
                    <w:rPr>
                      <w:rFonts w:hint="eastAsia" w:ascii="宋体" w:hAnsi="宋体"/>
                      <w:color w:val="000000"/>
                      <w:kern w:val="0"/>
                      <w:sz w:val="22"/>
                      <w:lang w:bidi="ar"/>
                    </w:rPr>
                    <w:t>口腔半导体激光治疗仪光纤</w:t>
                  </w:r>
                </w:p>
              </w:tc>
              <w:tc>
                <w:tcPr>
                  <w:tcW w:w="732" w:type="pct"/>
                  <w:tcBorders>
                    <w:top w:val="single" w:color="auto" w:sz="4" w:space="0"/>
                    <w:left w:val="nil"/>
                    <w:bottom w:val="single" w:color="auto" w:sz="4" w:space="0"/>
                    <w:right w:val="single" w:color="auto" w:sz="4" w:space="0"/>
                  </w:tcBorders>
                  <w:noWrap/>
                  <w:vAlign w:val="center"/>
                </w:tcPr>
                <w:p w14:paraId="5E8AAB7F">
                  <w:pPr>
                    <w:widowControl/>
                    <w:jc w:val="center"/>
                    <w:rPr>
                      <w:rFonts w:ascii="宋体" w:hAnsi="宋体"/>
                      <w:color w:val="000000"/>
                      <w:kern w:val="0"/>
                      <w:sz w:val="24"/>
                      <w:szCs w:val="24"/>
                    </w:rPr>
                  </w:pPr>
                  <w:r>
                    <w:rPr>
                      <w:rFonts w:hint="eastAsia" w:ascii="宋体" w:hAnsi="宋体"/>
                      <w:color w:val="000000"/>
                      <w:kern w:val="0"/>
                      <w:sz w:val="24"/>
                      <w:szCs w:val="24"/>
                    </w:rPr>
                    <w:t>1</w:t>
                  </w:r>
                </w:p>
              </w:tc>
              <w:tc>
                <w:tcPr>
                  <w:tcW w:w="530" w:type="pct"/>
                  <w:tcBorders>
                    <w:top w:val="single" w:color="auto" w:sz="4" w:space="0"/>
                    <w:left w:val="nil"/>
                    <w:bottom w:val="single" w:color="auto" w:sz="4" w:space="0"/>
                    <w:right w:val="single" w:color="auto" w:sz="4" w:space="0"/>
                  </w:tcBorders>
                  <w:noWrap/>
                  <w:vAlign w:val="center"/>
                </w:tcPr>
                <w:p w14:paraId="5DFC8F62">
                  <w:pPr>
                    <w:widowControl/>
                    <w:jc w:val="center"/>
                    <w:rPr>
                      <w:rFonts w:ascii="宋体" w:hAnsi="宋体"/>
                      <w:color w:val="000000"/>
                      <w:kern w:val="0"/>
                      <w:sz w:val="24"/>
                      <w:szCs w:val="24"/>
                    </w:rPr>
                  </w:pPr>
                  <w:r>
                    <w:rPr>
                      <w:rFonts w:hint="eastAsia" w:ascii="宋体" w:hAnsi="宋体"/>
                      <w:color w:val="000000"/>
                      <w:kern w:val="0"/>
                      <w:sz w:val="24"/>
                      <w:szCs w:val="24"/>
                    </w:rPr>
                    <w:t>根</w:t>
                  </w:r>
                </w:p>
              </w:tc>
              <w:tc>
                <w:tcPr>
                  <w:tcW w:w="944" w:type="pct"/>
                  <w:tcBorders>
                    <w:top w:val="single" w:color="auto" w:sz="4" w:space="0"/>
                    <w:left w:val="nil"/>
                    <w:bottom w:val="single" w:color="auto" w:sz="4" w:space="0"/>
                    <w:right w:val="single" w:color="auto" w:sz="4" w:space="0"/>
                  </w:tcBorders>
                  <w:noWrap/>
                  <w:vAlign w:val="center"/>
                </w:tcPr>
                <w:p w14:paraId="78C1A43B">
                  <w:pPr>
                    <w:widowControl/>
                    <w:jc w:val="center"/>
                    <w:rPr>
                      <w:rFonts w:ascii="宋体" w:hAnsi="宋体"/>
                      <w:color w:val="000000"/>
                      <w:kern w:val="0"/>
                      <w:sz w:val="24"/>
                      <w:szCs w:val="24"/>
                    </w:rPr>
                  </w:pPr>
                  <w:r>
                    <w:rPr>
                      <w:rFonts w:hint="eastAsia" w:ascii="宋体" w:hAnsi="宋体"/>
                      <w:color w:val="000000"/>
                      <w:kern w:val="0"/>
                      <w:sz w:val="24"/>
                      <w:szCs w:val="24"/>
                    </w:rPr>
                    <w:t>8000</w:t>
                  </w:r>
                </w:p>
              </w:tc>
              <w:tc>
                <w:tcPr>
                  <w:tcW w:w="840" w:type="pct"/>
                  <w:tcBorders>
                    <w:top w:val="single" w:color="auto" w:sz="4" w:space="0"/>
                    <w:left w:val="nil"/>
                    <w:bottom w:val="single" w:color="auto" w:sz="4" w:space="0"/>
                    <w:right w:val="single" w:color="auto" w:sz="4" w:space="0"/>
                  </w:tcBorders>
                  <w:noWrap/>
                  <w:vAlign w:val="center"/>
                </w:tcPr>
                <w:p w14:paraId="5320F25E">
                  <w:pPr>
                    <w:widowControl/>
                    <w:rPr>
                      <w:rFonts w:ascii="宋体" w:hAnsi="宋体"/>
                      <w:color w:val="000000"/>
                      <w:kern w:val="0"/>
                      <w:sz w:val="24"/>
                      <w:szCs w:val="24"/>
                    </w:rPr>
                  </w:pPr>
                  <w:r>
                    <w:rPr>
                      <w:rFonts w:hint="default" w:ascii="宋体" w:hAnsi="宋体"/>
                      <w:color w:val="000000"/>
                      <w:kern w:val="0"/>
                      <w:sz w:val="24"/>
                      <w:szCs w:val="24"/>
                    </w:rPr>
                    <w:t>拒绝</w:t>
                  </w:r>
                  <w:r>
                    <w:rPr>
                      <w:rFonts w:hint="eastAsia" w:ascii="宋体" w:hAnsi="宋体"/>
                      <w:color w:val="000000"/>
                      <w:kern w:val="0"/>
                      <w:sz w:val="24"/>
                      <w:szCs w:val="24"/>
                    </w:rPr>
                    <w:t>进口</w:t>
                  </w:r>
                </w:p>
              </w:tc>
            </w:tr>
            <w:tr w14:paraId="66FB903B">
              <w:tblPrEx>
                <w:tblCellMar>
                  <w:top w:w="0" w:type="dxa"/>
                  <w:left w:w="108" w:type="dxa"/>
                  <w:bottom w:w="0" w:type="dxa"/>
                  <w:right w:w="108" w:type="dxa"/>
                </w:tblCellMar>
              </w:tblPrEx>
              <w:trPr>
                <w:trHeight w:val="405" w:hRule="atLeast"/>
              </w:trPr>
              <w:tc>
                <w:tcPr>
                  <w:tcW w:w="371" w:type="pct"/>
                  <w:tcBorders>
                    <w:top w:val="single" w:color="auto" w:sz="4" w:space="0"/>
                    <w:left w:val="single" w:color="auto" w:sz="4" w:space="0"/>
                    <w:bottom w:val="single" w:color="auto" w:sz="4" w:space="0"/>
                    <w:right w:val="single" w:color="auto" w:sz="4" w:space="0"/>
                  </w:tcBorders>
                  <w:noWrap/>
                  <w:vAlign w:val="center"/>
                </w:tcPr>
                <w:p w14:paraId="6D601093">
                  <w:pPr>
                    <w:widowControl/>
                    <w:jc w:val="center"/>
                    <w:rPr>
                      <w:rFonts w:ascii="宋体" w:hAnsi="宋体"/>
                      <w:color w:val="000000"/>
                      <w:kern w:val="0"/>
                      <w:sz w:val="24"/>
                      <w:szCs w:val="24"/>
                    </w:rPr>
                  </w:pPr>
                  <w:r>
                    <w:rPr>
                      <w:rFonts w:hint="eastAsia" w:ascii="宋体" w:hAnsi="宋体"/>
                      <w:color w:val="000000"/>
                      <w:kern w:val="0"/>
                      <w:sz w:val="24"/>
                      <w:szCs w:val="24"/>
                    </w:rPr>
                    <w:t>3</w:t>
                  </w:r>
                </w:p>
              </w:tc>
              <w:tc>
                <w:tcPr>
                  <w:tcW w:w="1583" w:type="pct"/>
                  <w:tcBorders>
                    <w:top w:val="single" w:color="auto" w:sz="4" w:space="0"/>
                    <w:left w:val="nil"/>
                    <w:bottom w:val="single" w:color="auto" w:sz="4" w:space="0"/>
                    <w:right w:val="single" w:color="auto" w:sz="4" w:space="0"/>
                  </w:tcBorders>
                  <w:vAlign w:val="center"/>
                </w:tcPr>
                <w:p w14:paraId="7DFB9E71">
                  <w:pPr>
                    <w:widowControl/>
                    <w:jc w:val="center"/>
                    <w:rPr>
                      <w:rFonts w:ascii="宋体" w:hAnsi="宋体"/>
                      <w:color w:val="000000"/>
                      <w:kern w:val="0"/>
                      <w:sz w:val="24"/>
                      <w:szCs w:val="24"/>
                    </w:rPr>
                  </w:pPr>
                  <w:r>
                    <w:rPr>
                      <w:rFonts w:hint="eastAsia" w:ascii="宋体" w:hAnsi="宋体"/>
                      <w:kern w:val="0"/>
                      <w:szCs w:val="21"/>
                    </w:rPr>
                    <w:t>口腔Nd：YAG激光治疗仪光纤</w:t>
                  </w:r>
                </w:p>
              </w:tc>
              <w:tc>
                <w:tcPr>
                  <w:tcW w:w="732" w:type="pct"/>
                  <w:tcBorders>
                    <w:top w:val="single" w:color="auto" w:sz="4" w:space="0"/>
                    <w:left w:val="nil"/>
                    <w:bottom w:val="single" w:color="auto" w:sz="4" w:space="0"/>
                    <w:right w:val="single" w:color="auto" w:sz="4" w:space="0"/>
                  </w:tcBorders>
                  <w:noWrap/>
                  <w:vAlign w:val="center"/>
                </w:tcPr>
                <w:p w14:paraId="382C0A98">
                  <w:pPr>
                    <w:widowControl/>
                    <w:jc w:val="center"/>
                    <w:rPr>
                      <w:rFonts w:ascii="宋体" w:hAnsi="宋体"/>
                      <w:color w:val="000000"/>
                      <w:kern w:val="0"/>
                      <w:sz w:val="24"/>
                      <w:szCs w:val="24"/>
                    </w:rPr>
                  </w:pPr>
                  <w:r>
                    <w:rPr>
                      <w:rFonts w:hint="eastAsia" w:ascii="宋体" w:hAnsi="宋体"/>
                      <w:color w:val="000000"/>
                      <w:kern w:val="0"/>
                      <w:sz w:val="24"/>
                      <w:szCs w:val="24"/>
                    </w:rPr>
                    <w:t>1</w:t>
                  </w:r>
                </w:p>
              </w:tc>
              <w:tc>
                <w:tcPr>
                  <w:tcW w:w="530" w:type="pct"/>
                  <w:tcBorders>
                    <w:top w:val="single" w:color="auto" w:sz="4" w:space="0"/>
                    <w:left w:val="nil"/>
                    <w:bottom w:val="single" w:color="auto" w:sz="4" w:space="0"/>
                    <w:right w:val="single" w:color="auto" w:sz="4" w:space="0"/>
                  </w:tcBorders>
                  <w:noWrap/>
                  <w:vAlign w:val="center"/>
                </w:tcPr>
                <w:p w14:paraId="11F0AC6E">
                  <w:pPr>
                    <w:widowControl/>
                    <w:jc w:val="center"/>
                    <w:rPr>
                      <w:rFonts w:ascii="宋体" w:hAnsi="宋体"/>
                      <w:color w:val="000000"/>
                      <w:kern w:val="0"/>
                      <w:sz w:val="24"/>
                      <w:szCs w:val="24"/>
                    </w:rPr>
                  </w:pPr>
                  <w:r>
                    <w:rPr>
                      <w:rFonts w:hint="eastAsia" w:ascii="宋体" w:hAnsi="宋体"/>
                      <w:color w:val="000000"/>
                      <w:kern w:val="0"/>
                      <w:sz w:val="24"/>
                      <w:szCs w:val="24"/>
                    </w:rPr>
                    <w:t>根</w:t>
                  </w:r>
                </w:p>
              </w:tc>
              <w:tc>
                <w:tcPr>
                  <w:tcW w:w="944" w:type="pct"/>
                  <w:tcBorders>
                    <w:top w:val="single" w:color="auto" w:sz="4" w:space="0"/>
                    <w:left w:val="nil"/>
                    <w:bottom w:val="single" w:color="auto" w:sz="4" w:space="0"/>
                    <w:right w:val="single" w:color="auto" w:sz="4" w:space="0"/>
                  </w:tcBorders>
                  <w:noWrap/>
                  <w:vAlign w:val="center"/>
                </w:tcPr>
                <w:p w14:paraId="697F29C1">
                  <w:pPr>
                    <w:widowControl/>
                    <w:jc w:val="center"/>
                    <w:rPr>
                      <w:rFonts w:ascii="宋体" w:hAnsi="宋体"/>
                      <w:color w:val="000000"/>
                      <w:kern w:val="0"/>
                      <w:sz w:val="24"/>
                      <w:szCs w:val="24"/>
                    </w:rPr>
                  </w:pPr>
                  <w:r>
                    <w:rPr>
                      <w:rFonts w:hint="eastAsia" w:ascii="宋体" w:hAnsi="宋体"/>
                      <w:color w:val="000000"/>
                      <w:kern w:val="0"/>
                      <w:sz w:val="24"/>
                      <w:szCs w:val="24"/>
                    </w:rPr>
                    <w:t>8000</w:t>
                  </w:r>
                </w:p>
              </w:tc>
              <w:tc>
                <w:tcPr>
                  <w:tcW w:w="840" w:type="pct"/>
                  <w:tcBorders>
                    <w:top w:val="single" w:color="auto" w:sz="4" w:space="0"/>
                    <w:left w:val="nil"/>
                    <w:bottom w:val="single" w:color="auto" w:sz="4" w:space="0"/>
                    <w:right w:val="single" w:color="auto" w:sz="4" w:space="0"/>
                  </w:tcBorders>
                  <w:noWrap/>
                  <w:vAlign w:val="center"/>
                </w:tcPr>
                <w:p w14:paraId="387A6BC6">
                  <w:pPr>
                    <w:widowControl/>
                    <w:rPr>
                      <w:rFonts w:ascii="宋体" w:hAnsi="宋体"/>
                      <w:color w:val="000000"/>
                      <w:kern w:val="0"/>
                      <w:sz w:val="24"/>
                      <w:szCs w:val="24"/>
                    </w:rPr>
                  </w:pPr>
                  <w:r>
                    <w:rPr>
                      <w:rFonts w:hint="eastAsia" w:ascii="宋体" w:hAnsi="宋体"/>
                      <w:color w:val="000000"/>
                      <w:kern w:val="0"/>
                      <w:sz w:val="24"/>
                      <w:szCs w:val="24"/>
                    </w:rPr>
                    <w:t>拒绝进口</w:t>
                  </w:r>
                </w:p>
              </w:tc>
            </w:tr>
          </w:tbl>
          <w:p w14:paraId="0BA9D1BD">
            <w:pPr>
              <w:ind w:firstLine="420" w:firstLineChars="200"/>
            </w:pPr>
          </w:p>
        </w:tc>
      </w:tr>
      <w:tr w14:paraId="4E98B7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2239" w:hRule="atLeast"/>
          <w:tblCellSpacing w:w="0" w:type="dxa"/>
          <w:jc w:val="center"/>
        </w:trPr>
        <w:tc>
          <w:tcPr>
            <w:tcW w:w="663" w:type="dxa"/>
            <w:vAlign w:val="center"/>
          </w:tcPr>
          <w:p w14:paraId="403660E7">
            <w:pPr>
              <w:widowControl/>
              <w:spacing w:before="100" w:beforeAutospacing="1" w:after="100" w:afterAutospacing="1"/>
              <w:jc w:val="left"/>
              <w:rPr>
                <w:rFonts w:ascii="宋体" w:hAnsi="宋体"/>
                <w:b/>
                <w:kern w:val="0"/>
                <w:sz w:val="20"/>
                <w:szCs w:val="20"/>
              </w:rPr>
            </w:pPr>
            <w:r>
              <w:rPr>
                <w:rFonts w:hint="eastAsia" w:ascii="宋体" w:hAnsi="宋体" w:cs="仿宋"/>
                <w:b/>
                <w:bCs/>
                <w:kern w:val="0"/>
                <w:sz w:val="20"/>
                <w:szCs w:val="20"/>
              </w:rPr>
              <w:t>技术参数需求</w:t>
            </w:r>
          </w:p>
        </w:tc>
        <w:tc>
          <w:tcPr>
            <w:tcW w:w="9965" w:type="dxa"/>
            <w:gridSpan w:val="3"/>
            <w:vAlign w:val="center"/>
          </w:tcPr>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206"/>
              <w:gridCol w:w="7736"/>
            </w:tblGrid>
            <w:tr w14:paraId="4664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Align w:val="center"/>
                </w:tcPr>
                <w:p w14:paraId="1054E0C8">
                  <w:pPr>
                    <w:spacing w:line="25" w:lineRule="atLeast"/>
                    <w:jc w:val="center"/>
                    <w:rPr>
                      <w:rFonts w:ascii="宋体" w:hAnsi="宋体"/>
                      <w:szCs w:val="21"/>
                    </w:rPr>
                  </w:pPr>
                  <w:r>
                    <w:rPr>
                      <w:rFonts w:hint="eastAsia" w:ascii="宋体" w:hAnsi="宋体"/>
                      <w:szCs w:val="21"/>
                    </w:rPr>
                    <w:t>序号</w:t>
                  </w:r>
                </w:p>
              </w:tc>
              <w:tc>
                <w:tcPr>
                  <w:tcW w:w="1206" w:type="dxa"/>
                  <w:vAlign w:val="center"/>
                </w:tcPr>
                <w:p w14:paraId="438F7ABD">
                  <w:pPr>
                    <w:widowControl/>
                    <w:jc w:val="center"/>
                    <w:rPr>
                      <w:rFonts w:ascii="宋体" w:hAnsi="宋体"/>
                      <w:kern w:val="0"/>
                      <w:szCs w:val="21"/>
                    </w:rPr>
                  </w:pPr>
                  <w:r>
                    <w:rPr>
                      <w:rFonts w:hint="eastAsia" w:ascii="宋体" w:hAnsi="宋体"/>
                      <w:kern w:val="0"/>
                      <w:szCs w:val="21"/>
                    </w:rPr>
                    <w:t>货物名称</w:t>
                  </w:r>
                </w:p>
              </w:tc>
              <w:tc>
                <w:tcPr>
                  <w:tcW w:w="7736" w:type="dxa"/>
                  <w:vAlign w:val="center"/>
                </w:tcPr>
                <w:p w14:paraId="774AA27C">
                  <w:pPr>
                    <w:widowControl/>
                    <w:jc w:val="left"/>
                    <w:rPr>
                      <w:rFonts w:ascii="宋体" w:hAnsi="宋体"/>
                      <w:kern w:val="0"/>
                      <w:szCs w:val="21"/>
                    </w:rPr>
                  </w:pPr>
                  <w:r>
                    <w:rPr>
                      <w:rFonts w:hint="eastAsia" w:ascii="宋体" w:hAnsi="宋体"/>
                      <w:kern w:val="0"/>
                      <w:szCs w:val="21"/>
                    </w:rPr>
                    <w:t>具体技术要求（注：参数为设备和系统基本要求，均不可虚假响应和不可降低性能参数相应。院方保留参数和功能测试的权利，带星号为必须满足项。</w:t>
                  </w:r>
                </w:p>
              </w:tc>
            </w:tr>
            <w:tr w14:paraId="2F59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Merge w:val="restart"/>
                  <w:vAlign w:val="center"/>
                </w:tcPr>
                <w:p w14:paraId="3A79C274">
                  <w:pPr>
                    <w:spacing w:line="25" w:lineRule="atLeast"/>
                    <w:jc w:val="center"/>
                    <w:rPr>
                      <w:rFonts w:ascii="宋体" w:hAnsi="宋体"/>
                      <w:szCs w:val="21"/>
                    </w:rPr>
                  </w:pPr>
                  <w:r>
                    <w:rPr>
                      <w:rFonts w:hint="eastAsia" w:ascii="宋体" w:hAnsi="宋体"/>
                      <w:szCs w:val="21"/>
                    </w:rPr>
                    <w:t>1</w:t>
                  </w:r>
                </w:p>
              </w:tc>
              <w:tc>
                <w:tcPr>
                  <w:tcW w:w="1206" w:type="dxa"/>
                  <w:vMerge w:val="restart"/>
                  <w:vAlign w:val="center"/>
                </w:tcPr>
                <w:p w14:paraId="6382A617">
                  <w:pPr>
                    <w:widowControl/>
                    <w:jc w:val="center"/>
                    <w:rPr>
                      <w:rFonts w:ascii="宋体" w:hAnsi="宋体"/>
                      <w:kern w:val="0"/>
                      <w:szCs w:val="21"/>
                    </w:rPr>
                  </w:pPr>
                  <w:r>
                    <w:rPr>
                      <w:rFonts w:hint="eastAsia" w:ascii="宋体" w:hAnsi="宋体"/>
                      <w:kern w:val="0"/>
                      <w:szCs w:val="21"/>
                    </w:rPr>
                    <w:t>牙周治疗仪</w:t>
                  </w:r>
                  <w:r>
                    <w:rPr>
                      <w:rFonts w:hint="eastAsia" w:ascii="宋体" w:hAnsi="宋体"/>
                      <w:color w:val="000000"/>
                      <w:kern w:val="0"/>
                      <w:sz w:val="24"/>
                      <w:szCs w:val="24"/>
                    </w:rPr>
                    <w:t>配件碳棒</w:t>
                  </w:r>
                </w:p>
              </w:tc>
              <w:tc>
                <w:tcPr>
                  <w:tcW w:w="7736" w:type="dxa"/>
                  <w:vAlign w:val="center"/>
                </w:tcPr>
                <w:p w14:paraId="3FD9EE1D">
                  <w:pPr>
                    <w:widowControl/>
                    <w:jc w:val="left"/>
                    <w:rPr>
                      <w:rFonts w:ascii="宋体" w:hAnsi="宋体"/>
                      <w:kern w:val="0"/>
                      <w:szCs w:val="21"/>
                    </w:rPr>
                  </w:pPr>
                  <w:r>
                    <w:rPr>
                      <w:rFonts w:hint="eastAsia" w:ascii="宋体" w:hAnsi="宋体"/>
                      <w:kern w:val="0"/>
                      <w:szCs w:val="21"/>
                    </w:rPr>
                    <w:t>1、输出功率≤10W；</w:t>
                  </w:r>
                </w:p>
              </w:tc>
            </w:tr>
            <w:tr w14:paraId="160A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Merge w:val="continue"/>
                  <w:vAlign w:val="center"/>
                </w:tcPr>
                <w:p w14:paraId="49BB3A68">
                  <w:pPr>
                    <w:spacing w:line="25" w:lineRule="atLeast"/>
                    <w:jc w:val="center"/>
                    <w:rPr>
                      <w:rFonts w:ascii="宋体" w:hAnsi="宋体"/>
                      <w:szCs w:val="21"/>
                    </w:rPr>
                  </w:pPr>
                </w:p>
              </w:tc>
              <w:tc>
                <w:tcPr>
                  <w:tcW w:w="1206" w:type="dxa"/>
                  <w:vMerge w:val="continue"/>
                  <w:vAlign w:val="center"/>
                </w:tcPr>
                <w:p w14:paraId="45AE656A">
                  <w:pPr>
                    <w:widowControl/>
                    <w:jc w:val="center"/>
                    <w:rPr>
                      <w:rFonts w:ascii="宋体" w:hAnsi="宋体"/>
                      <w:kern w:val="0"/>
                      <w:szCs w:val="21"/>
                    </w:rPr>
                  </w:pPr>
                </w:p>
              </w:tc>
              <w:tc>
                <w:tcPr>
                  <w:tcW w:w="7736" w:type="dxa"/>
                  <w:vAlign w:val="center"/>
                </w:tcPr>
                <w:p w14:paraId="4B5E25AC">
                  <w:pPr>
                    <w:widowControl/>
                    <w:jc w:val="left"/>
                    <w:rPr>
                      <w:rFonts w:ascii="宋体" w:hAnsi="宋体"/>
                      <w:kern w:val="0"/>
                      <w:szCs w:val="21"/>
                    </w:rPr>
                  </w:pPr>
                  <w:r>
                    <w:rPr>
                      <w:rFonts w:hint="eastAsia" w:ascii="宋体" w:hAnsi="宋体"/>
                      <w:kern w:val="0"/>
                      <w:szCs w:val="21"/>
                    </w:rPr>
                    <w:t>2、工作尖振动频率≤41500Hz±5%</w:t>
                  </w:r>
                </w:p>
              </w:tc>
            </w:tr>
            <w:tr w14:paraId="6913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Merge w:val="continue"/>
                  <w:vAlign w:val="center"/>
                </w:tcPr>
                <w:p w14:paraId="0A44697B">
                  <w:pPr>
                    <w:spacing w:line="25" w:lineRule="atLeast"/>
                    <w:jc w:val="center"/>
                    <w:rPr>
                      <w:rFonts w:ascii="宋体" w:hAnsi="宋体"/>
                      <w:szCs w:val="21"/>
                    </w:rPr>
                  </w:pPr>
                </w:p>
              </w:tc>
              <w:tc>
                <w:tcPr>
                  <w:tcW w:w="1206" w:type="dxa"/>
                  <w:vMerge w:val="continue"/>
                  <w:vAlign w:val="center"/>
                </w:tcPr>
                <w:p w14:paraId="5F004F7F">
                  <w:pPr>
                    <w:widowControl/>
                    <w:jc w:val="center"/>
                    <w:rPr>
                      <w:rFonts w:ascii="宋体" w:hAnsi="宋体"/>
                      <w:kern w:val="0"/>
                      <w:szCs w:val="21"/>
                    </w:rPr>
                  </w:pPr>
                </w:p>
              </w:tc>
              <w:tc>
                <w:tcPr>
                  <w:tcW w:w="7736" w:type="dxa"/>
                  <w:vAlign w:val="center"/>
                </w:tcPr>
                <w:p w14:paraId="0F967AA7">
                  <w:pPr>
                    <w:widowControl/>
                    <w:jc w:val="left"/>
                    <w:rPr>
                      <w:rFonts w:ascii="宋体" w:hAnsi="宋体"/>
                      <w:kern w:val="0"/>
                      <w:szCs w:val="21"/>
                    </w:rPr>
                  </w:pPr>
                  <w:r>
                    <w:rPr>
                      <w:rFonts w:hint="eastAsia" w:ascii="宋体" w:hAnsi="宋体"/>
                      <w:kern w:val="0"/>
                      <w:szCs w:val="21"/>
                    </w:rPr>
                    <w:t>3、工作噪音≤65dB</w:t>
                  </w:r>
                </w:p>
              </w:tc>
            </w:tr>
            <w:tr w14:paraId="3D1D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Merge w:val="continue"/>
                  <w:vAlign w:val="center"/>
                </w:tcPr>
                <w:p w14:paraId="4A6B0F0B">
                  <w:pPr>
                    <w:spacing w:line="25" w:lineRule="atLeast"/>
                    <w:jc w:val="center"/>
                    <w:rPr>
                      <w:rFonts w:ascii="宋体" w:hAnsi="宋体"/>
                      <w:szCs w:val="21"/>
                    </w:rPr>
                  </w:pPr>
                </w:p>
              </w:tc>
              <w:tc>
                <w:tcPr>
                  <w:tcW w:w="1206" w:type="dxa"/>
                  <w:vMerge w:val="continue"/>
                  <w:vAlign w:val="center"/>
                </w:tcPr>
                <w:p w14:paraId="0261883E">
                  <w:pPr>
                    <w:widowControl/>
                    <w:jc w:val="center"/>
                    <w:rPr>
                      <w:rFonts w:ascii="宋体" w:hAnsi="宋体"/>
                      <w:kern w:val="0"/>
                      <w:szCs w:val="21"/>
                    </w:rPr>
                  </w:pPr>
                </w:p>
              </w:tc>
              <w:tc>
                <w:tcPr>
                  <w:tcW w:w="7736" w:type="dxa"/>
                  <w:vAlign w:val="center"/>
                </w:tcPr>
                <w:p w14:paraId="57D00A20">
                  <w:pPr>
                    <w:widowControl/>
                    <w:jc w:val="left"/>
                    <w:rPr>
                      <w:rFonts w:ascii="微软雅黑" w:hAnsi="微软雅黑" w:eastAsia="微软雅黑"/>
                      <w:kern w:val="0"/>
                      <w:sz w:val="24"/>
                      <w:szCs w:val="24"/>
                    </w:rPr>
                  </w:pPr>
                  <w:r>
                    <w:rPr>
                      <w:rFonts w:hint="eastAsia" w:ascii="宋体" w:hAnsi="宋体"/>
                      <w:b/>
                      <w:szCs w:val="21"/>
                    </w:rPr>
                    <w:t>★</w:t>
                  </w:r>
                  <w:r>
                    <w:rPr>
                      <w:rFonts w:hint="eastAsia" w:ascii="宋体" w:hAnsi="宋体"/>
                      <w:kern w:val="0"/>
                      <w:szCs w:val="21"/>
                    </w:rPr>
                    <w:t>4、适用于牙周治疗仪（型号Odontogain）。</w:t>
                  </w:r>
                </w:p>
              </w:tc>
            </w:tr>
            <w:tr w14:paraId="1213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Merge w:val="restart"/>
                  <w:vAlign w:val="center"/>
                </w:tcPr>
                <w:p w14:paraId="52DCD9C2">
                  <w:pPr>
                    <w:spacing w:line="25" w:lineRule="atLeast"/>
                    <w:jc w:val="center"/>
                    <w:rPr>
                      <w:rFonts w:ascii="宋体" w:hAnsi="宋体"/>
                      <w:szCs w:val="21"/>
                    </w:rPr>
                  </w:pPr>
                  <w:r>
                    <w:rPr>
                      <w:rFonts w:hint="eastAsia" w:ascii="宋体" w:hAnsi="宋体"/>
                      <w:szCs w:val="21"/>
                    </w:rPr>
                    <w:t>2</w:t>
                  </w:r>
                </w:p>
              </w:tc>
              <w:tc>
                <w:tcPr>
                  <w:tcW w:w="1206" w:type="dxa"/>
                  <w:vMerge w:val="restart"/>
                  <w:vAlign w:val="center"/>
                </w:tcPr>
                <w:p w14:paraId="4337DDD8">
                  <w:pPr>
                    <w:widowControl/>
                    <w:jc w:val="center"/>
                    <w:rPr>
                      <w:rFonts w:ascii="宋体" w:hAnsi="宋体"/>
                      <w:kern w:val="0"/>
                      <w:szCs w:val="21"/>
                    </w:rPr>
                  </w:pPr>
                  <w:r>
                    <w:rPr>
                      <w:rFonts w:hint="eastAsia" w:ascii="宋体" w:hAnsi="宋体"/>
                      <w:color w:val="000000"/>
                      <w:kern w:val="0"/>
                      <w:sz w:val="22"/>
                      <w:lang w:bidi="ar"/>
                    </w:rPr>
                    <w:t>口腔半导体激光治疗仪光纤</w:t>
                  </w:r>
                </w:p>
              </w:tc>
              <w:tc>
                <w:tcPr>
                  <w:tcW w:w="7736" w:type="dxa"/>
                  <w:vAlign w:val="center"/>
                </w:tcPr>
                <w:p w14:paraId="7CF466D1">
                  <w:pPr>
                    <w:spacing w:line="420" w:lineRule="exact"/>
                    <w:rPr>
                      <w:rFonts w:ascii="宋体" w:hAnsi="宋体"/>
                      <w:sz w:val="22"/>
                    </w:rPr>
                  </w:pPr>
                  <w:r>
                    <w:rPr>
                      <w:rFonts w:hint="eastAsia" w:ascii="宋体" w:hAnsi="宋体"/>
                      <w:sz w:val="22"/>
                    </w:rPr>
                    <w:t>1、适用于软组织的激光波长为810nm±10nm；</w:t>
                  </w:r>
                </w:p>
              </w:tc>
            </w:tr>
            <w:tr w14:paraId="2686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Merge w:val="continue"/>
                  <w:vAlign w:val="center"/>
                </w:tcPr>
                <w:p w14:paraId="410FF045">
                  <w:pPr>
                    <w:spacing w:line="25" w:lineRule="atLeast"/>
                    <w:jc w:val="center"/>
                    <w:rPr>
                      <w:rFonts w:ascii="宋体" w:hAnsi="宋体"/>
                      <w:szCs w:val="21"/>
                    </w:rPr>
                  </w:pPr>
                </w:p>
              </w:tc>
              <w:tc>
                <w:tcPr>
                  <w:tcW w:w="1206" w:type="dxa"/>
                  <w:vMerge w:val="continue"/>
                  <w:vAlign w:val="center"/>
                </w:tcPr>
                <w:p w14:paraId="6C60B2CA">
                  <w:pPr>
                    <w:widowControl/>
                    <w:jc w:val="center"/>
                    <w:rPr>
                      <w:rFonts w:ascii="宋体" w:hAnsi="宋体"/>
                      <w:kern w:val="0"/>
                      <w:szCs w:val="21"/>
                    </w:rPr>
                  </w:pPr>
                </w:p>
              </w:tc>
              <w:tc>
                <w:tcPr>
                  <w:tcW w:w="7736" w:type="dxa"/>
                  <w:vAlign w:val="center"/>
                </w:tcPr>
                <w:p w14:paraId="19FDD214">
                  <w:pPr>
                    <w:spacing w:line="420" w:lineRule="exact"/>
                    <w:rPr>
                      <w:rFonts w:ascii="宋体" w:hAnsi="宋体"/>
                      <w:sz w:val="22"/>
                    </w:rPr>
                  </w:pPr>
                  <w:r>
                    <w:rPr>
                      <w:rFonts w:hint="eastAsia" w:ascii="宋体" w:hAnsi="宋体"/>
                      <w:sz w:val="22"/>
                    </w:rPr>
                    <w:t>2、光纤直径：≥300μm；</w:t>
                  </w:r>
                </w:p>
              </w:tc>
            </w:tr>
            <w:tr w14:paraId="64FC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Merge w:val="continue"/>
                  <w:vAlign w:val="center"/>
                </w:tcPr>
                <w:p w14:paraId="42727A1C">
                  <w:pPr>
                    <w:spacing w:line="25" w:lineRule="atLeast"/>
                    <w:jc w:val="center"/>
                    <w:rPr>
                      <w:rFonts w:ascii="宋体" w:hAnsi="宋体"/>
                      <w:szCs w:val="21"/>
                    </w:rPr>
                  </w:pPr>
                </w:p>
              </w:tc>
              <w:tc>
                <w:tcPr>
                  <w:tcW w:w="1206" w:type="dxa"/>
                  <w:vMerge w:val="continue"/>
                  <w:vAlign w:val="center"/>
                </w:tcPr>
                <w:p w14:paraId="360AEA32">
                  <w:pPr>
                    <w:widowControl/>
                    <w:jc w:val="center"/>
                    <w:rPr>
                      <w:rFonts w:ascii="宋体" w:hAnsi="宋体"/>
                      <w:kern w:val="0"/>
                      <w:szCs w:val="21"/>
                    </w:rPr>
                  </w:pPr>
                </w:p>
              </w:tc>
              <w:tc>
                <w:tcPr>
                  <w:tcW w:w="7736" w:type="dxa"/>
                  <w:vAlign w:val="center"/>
                </w:tcPr>
                <w:p w14:paraId="1FBD38A4">
                  <w:pPr>
                    <w:spacing w:line="420" w:lineRule="exact"/>
                    <w:rPr>
                      <w:rFonts w:ascii="宋体" w:hAnsi="宋体"/>
                      <w:sz w:val="22"/>
                    </w:rPr>
                  </w:pPr>
                  <w:r>
                    <w:rPr>
                      <w:rFonts w:hint="eastAsia" w:ascii="宋体" w:hAnsi="宋体"/>
                      <w:sz w:val="22"/>
                    </w:rPr>
                    <w:t>3、光纤长度≥3m；</w:t>
                  </w:r>
                </w:p>
              </w:tc>
            </w:tr>
            <w:tr w14:paraId="1E37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Merge w:val="continue"/>
                  <w:vAlign w:val="center"/>
                </w:tcPr>
                <w:p w14:paraId="5334637E">
                  <w:pPr>
                    <w:spacing w:line="25" w:lineRule="atLeast"/>
                    <w:jc w:val="center"/>
                    <w:rPr>
                      <w:rFonts w:ascii="宋体" w:hAnsi="宋体"/>
                      <w:szCs w:val="21"/>
                    </w:rPr>
                  </w:pPr>
                </w:p>
              </w:tc>
              <w:tc>
                <w:tcPr>
                  <w:tcW w:w="1206" w:type="dxa"/>
                  <w:vMerge w:val="continue"/>
                  <w:vAlign w:val="center"/>
                </w:tcPr>
                <w:p w14:paraId="1E6C7383">
                  <w:pPr>
                    <w:widowControl/>
                    <w:jc w:val="center"/>
                    <w:rPr>
                      <w:rFonts w:ascii="宋体" w:hAnsi="宋体"/>
                      <w:kern w:val="0"/>
                      <w:szCs w:val="21"/>
                    </w:rPr>
                  </w:pPr>
                </w:p>
              </w:tc>
              <w:tc>
                <w:tcPr>
                  <w:tcW w:w="7736" w:type="dxa"/>
                  <w:vAlign w:val="center"/>
                </w:tcPr>
                <w:p w14:paraId="2ABC307F">
                  <w:pPr>
                    <w:widowControl/>
                    <w:spacing w:line="420" w:lineRule="exact"/>
                    <w:jc w:val="left"/>
                    <w:rPr>
                      <w:rFonts w:ascii="宋体" w:hAnsi="宋体"/>
                      <w:sz w:val="22"/>
                    </w:rPr>
                  </w:pPr>
                  <w:r>
                    <w:rPr>
                      <w:rFonts w:hint="eastAsia" w:ascii="宋体" w:hAnsi="宋体"/>
                      <w:b/>
                      <w:szCs w:val="21"/>
                    </w:rPr>
                    <w:t>★4、</w:t>
                  </w:r>
                  <w:r>
                    <w:rPr>
                      <w:rFonts w:hint="eastAsia" w:ascii="宋体" w:hAnsi="宋体"/>
                      <w:sz w:val="22"/>
                    </w:rPr>
                    <w:t>光纤必须适配斯美半导体激光治疗仪。</w:t>
                  </w:r>
                </w:p>
              </w:tc>
            </w:tr>
            <w:tr w14:paraId="56F1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Merge w:val="restart"/>
                  <w:vAlign w:val="center"/>
                </w:tcPr>
                <w:p w14:paraId="26606546">
                  <w:pPr>
                    <w:spacing w:line="25" w:lineRule="atLeast"/>
                    <w:jc w:val="center"/>
                    <w:rPr>
                      <w:rFonts w:ascii="宋体" w:hAnsi="宋体"/>
                      <w:szCs w:val="21"/>
                    </w:rPr>
                  </w:pPr>
                  <w:r>
                    <w:rPr>
                      <w:rFonts w:hint="eastAsia" w:ascii="宋体" w:hAnsi="宋体"/>
                      <w:szCs w:val="21"/>
                    </w:rPr>
                    <w:t>3</w:t>
                  </w:r>
                </w:p>
              </w:tc>
              <w:tc>
                <w:tcPr>
                  <w:tcW w:w="1206" w:type="dxa"/>
                  <w:vMerge w:val="restart"/>
                  <w:vAlign w:val="center"/>
                </w:tcPr>
                <w:p w14:paraId="593934F0">
                  <w:pPr>
                    <w:widowControl/>
                    <w:jc w:val="center"/>
                    <w:rPr>
                      <w:rFonts w:ascii="宋体" w:hAnsi="宋体"/>
                      <w:kern w:val="0"/>
                      <w:szCs w:val="21"/>
                    </w:rPr>
                  </w:pPr>
                  <w:r>
                    <w:rPr>
                      <w:rFonts w:hint="eastAsia" w:ascii="宋体" w:hAnsi="宋体"/>
                      <w:kern w:val="0"/>
                      <w:szCs w:val="21"/>
                    </w:rPr>
                    <w:t>口腔Nd：YAG激光治疗仪光纤</w:t>
                  </w:r>
                </w:p>
              </w:tc>
              <w:tc>
                <w:tcPr>
                  <w:tcW w:w="7736" w:type="dxa"/>
                  <w:vAlign w:val="center"/>
                </w:tcPr>
                <w:p w14:paraId="6A02B3CD">
                  <w:pPr>
                    <w:rPr>
                      <w:rFonts w:ascii="宋体" w:hAnsi="宋体"/>
                      <w:kern w:val="0"/>
                      <w:szCs w:val="21"/>
                    </w:rPr>
                  </w:pPr>
                  <w:r>
                    <w:rPr>
                      <w:rFonts w:hint="eastAsia" w:ascii="宋体" w:hAnsi="宋体"/>
                      <w:sz w:val="22"/>
                    </w:rPr>
                    <w:t>1、长度:</w:t>
                  </w:r>
                  <w:r>
                    <w:rPr>
                      <w:rFonts w:hint="eastAsia" w:ascii="宋体" w:hAnsi="宋体"/>
                      <w:kern w:val="0"/>
                      <w:szCs w:val="21"/>
                    </w:rPr>
                    <w:t xml:space="preserve"> ≤</w:t>
                  </w:r>
                  <w:r>
                    <w:rPr>
                      <w:rFonts w:hint="eastAsia" w:ascii="宋体" w:hAnsi="宋体"/>
                      <w:sz w:val="22"/>
                    </w:rPr>
                    <w:t>2000mm，允差士20%;</w:t>
                  </w:r>
                </w:p>
              </w:tc>
            </w:tr>
            <w:tr w14:paraId="0FEB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Merge w:val="continue"/>
                  <w:vAlign w:val="center"/>
                </w:tcPr>
                <w:p w14:paraId="610E6BDB">
                  <w:pPr>
                    <w:spacing w:line="25" w:lineRule="atLeast"/>
                    <w:jc w:val="center"/>
                    <w:rPr>
                      <w:rFonts w:ascii="宋体" w:hAnsi="宋体"/>
                      <w:szCs w:val="21"/>
                    </w:rPr>
                  </w:pPr>
                </w:p>
              </w:tc>
              <w:tc>
                <w:tcPr>
                  <w:tcW w:w="1206" w:type="dxa"/>
                  <w:vMerge w:val="continue"/>
                  <w:vAlign w:val="center"/>
                </w:tcPr>
                <w:p w14:paraId="05EA8E83">
                  <w:pPr>
                    <w:widowControl/>
                    <w:jc w:val="center"/>
                    <w:rPr>
                      <w:rFonts w:ascii="宋体" w:hAnsi="宋体"/>
                      <w:kern w:val="0"/>
                      <w:szCs w:val="21"/>
                    </w:rPr>
                  </w:pPr>
                </w:p>
              </w:tc>
              <w:tc>
                <w:tcPr>
                  <w:tcW w:w="7736" w:type="dxa"/>
                  <w:vAlign w:val="center"/>
                </w:tcPr>
                <w:p w14:paraId="02E23999">
                  <w:pPr>
                    <w:rPr>
                      <w:rFonts w:ascii="宋体" w:hAnsi="宋体"/>
                      <w:kern w:val="0"/>
                      <w:szCs w:val="21"/>
                    </w:rPr>
                  </w:pPr>
                  <w:r>
                    <w:rPr>
                      <w:rFonts w:hint="eastAsia" w:ascii="宋体" w:hAnsi="宋体"/>
                      <w:sz w:val="22"/>
                    </w:rPr>
                    <w:t>2、芯径:</w:t>
                  </w:r>
                  <w:r>
                    <w:rPr>
                      <w:rFonts w:hint="eastAsia" w:ascii="宋体" w:hAnsi="宋体"/>
                      <w:kern w:val="0"/>
                      <w:szCs w:val="21"/>
                    </w:rPr>
                    <w:t xml:space="preserve"> ≤</w:t>
                  </w:r>
                  <w:r>
                    <w:rPr>
                      <w:rFonts w:hint="eastAsia" w:ascii="宋体" w:hAnsi="宋体"/>
                      <w:sz w:val="22"/>
                    </w:rPr>
                    <w:t>0.8mm，允差士10%;</w:t>
                  </w:r>
                </w:p>
              </w:tc>
            </w:tr>
            <w:tr w14:paraId="316B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Merge w:val="continue"/>
                  <w:vAlign w:val="center"/>
                </w:tcPr>
                <w:p w14:paraId="10BDCC21">
                  <w:pPr>
                    <w:spacing w:line="25" w:lineRule="atLeast"/>
                    <w:jc w:val="center"/>
                    <w:rPr>
                      <w:rFonts w:ascii="宋体" w:hAnsi="宋体"/>
                      <w:szCs w:val="21"/>
                    </w:rPr>
                  </w:pPr>
                </w:p>
              </w:tc>
              <w:tc>
                <w:tcPr>
                  <w:tcW w:w="1206" w:type="dxa"/>
                  <w:vMerge w:val="continue"/>
                  <w:vAlign w:val="center"/>
                </w:tcPr>
                <w:p w14:paraId="3226A572">
                  <w:pPr>
                    <w:widowControl/>
                    <w:jc w:val="center"/>
                    <w:rPr>
                      <w:rFonts w:ascii="宋体" w:hAnsi="宋体"/>
                      <w:kern w:val="0"/>
                      <w:szCs w:val="21"/>
                    </w:rPr>
                  </w:pPr>
                </w:p>
              </w:tc>
              <w:tc>
                <w:tcPr>
                  <w:tcW w:w="7736" w:type="dxa"/>
                  <w:vAlign w:val="center"/>
                </w:tcPr>
                <w:p w14:paraId="5ED3C90C">
                  <w:pPr>
                    <w:rPr>
                      <w:rFonts w:ascii="宋体" w:hAnsi="宋体"/>
                      <w:kern w:val="0"/>
                      <w:szCs w:val="21"/>
                    </w:rPr>
                  </w:pPr>
                  <w:r>
                    <w:rPr>
                      <w:rFonts w:hint="eastAsia" w:ascii="宋体" w:hAnsi="宋体"/>
                      <w:sz w:val="22"/>
                    </w:rPr>
                    <w:t>3、适用的波长:</w:t>
                  </w:r>
                  <w:r>
                    <w:rPr>
                      <w:rFonts w:hint="eastAsia" w:ascii="宋体" w:hAnsi="宋体"/>
                      <w:kern w:val="0"/>
                      <w:szCs w:val="21"/>
                    </w:rPr>
                    <w:t xml:space="preserve"> ≤</w:t>
                  </w:r>
                  <w:r>
                    <w:rPr>
                      <w:rFonts w:hint="eastAsia" w:ascii="宋体" w:hAnsi="宋体"/>
                      <w:sz w:val="22"/>
                    </w:rPr>
                    <w:t>1064nm;</w:t>
                  </w:r>
                </w:p>
              </w:tc>
            </w:tr>
            <w:tr w14:paraId="73A0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0" w:type="dxa"/>
                  <w:vMerge w:val="continue"/>
                  <w:vAlign w:val="center"/>
                </w:tcPr>
                <w:p w14:paraId="24075AEB">
                  <w:pPr>
                    <w:spacing w:line="25" w:lineRule="atLeast"/>
                    <w:jc w:val="center"/>
                    <w:rPr>
                      <w:rFonts w:ascii="宋体" w:hAnsi="宋体"/>
                      <w:szCs w:val="21"/>
                    </w:rPr>
                  </w:pPr>
                </w:p>
              </w:tc>
              <w:tc>
                <w:tcPr>
                  <w:tcW w:w="1206" w:type="dxa"/>
                  <w:vMerge w:val="continue"/>
                  <w:vAlign w:val="center"/>
                </w:tcPr>
                <w:p w14:paraId="3E8F2C9F">
                  <w:pPr>
                    <w:widowControl/>
                    <w:jc w:val="center"/>
                    <w:rPr>
                      <w:rFonts w:ascii="宋体" w:hAnsi="宋体"/>
                      <w:kern w:val="0"/>
                      <w:szCs w:val="21"/>
                    </w:rPr>
                  </w:pPr>
                </w:p>
              </w:tc>
              <w:tc>
                <w:tcPr>
                  <w:tcW w:w="7736" w:type="dxa"/>
                  <w:vAlign w:val="center"/>
                </w:tcPr>
                <w:p w14:paraId="39E621C8">
                  <w:pPr>
                    <w:widowControl/>
                    <w:jc w:val="left"/>
                    <w:rPr>
                      <w:rFonts w:ascii="宋体" w:hAnsi="宋体"/>
                      <w:sz w:val="22"/>
                    </w:rPr>
                  </w:pPr>
                  <w:r>
                    <w:rPr>
                      <w:rFonts w:hint="eastAsia" w:ascii="宋体" w:hAnsi="宋体"/>
                      <w:b/>
                      <w:szCs w:val="21"/>
                    </w:rPr>
                    <w:t>★</w:t>
                  </w:r>
                  <w:r>
                    <w:rPr>
                      <w:rFonts w:hint="eastAsia" w:ascii="宋体" w:hAnsi="宋体"/>
                      <w:sz w:val="22"/>
                    </w:rPr>
                    <w:t>4、适用于Nd：YAG激光治疗仪。</w:t>
                  </w:r>
                </w:p>
              </w:tc>
            </w:tr>
          </w:tbl>
          <w:p w14:paraId="0B12501B">
            <w:pPr>
              <w:ind w:firstLine="420" w:firstLineChars="200"/>
            </w:pPr>
          </w:p>
        </w:tc>
      </w:tr>
      <w:tr w14:paraId="6FD00A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112" w:hRule="atLeast"/>
          <w:tblCellSpacing w:w="0" w:type="dxa"/>
          <w:jc w:val="center"/>
        </w:trPr>
        <w:tc>
          <w:tcPr>
            <w:tcW w:w="663" w:type="dxa"/>
            <w:vAlign w:val="center"/>
          </w:tcPr>
          <w:p w14:paraId="25060801">
            <w:pPr>
              <w:widowControl/>
              <w:spacing w:before="100" w:beforeAutospacing="1" w:after="100" w:afterAutospacing="1"/>
              <w:jc w:val="left"/>
              <w:rPr>
                <w:rFonts w:ascii="宋体" w:hAnsi="宋体"/>
                <w:kern w:val="0"/>
                <w:sz w:val="20"/>
                <w:szCs w:val="20"/>
              </w:rPr>
            </w:pPr>
            <w:r>
              <w:rPr>
                <w:rFonts w:ascii="宋体" w:hAnsi="宋体"/>
                <w:b/>
                <w:bCs/>
                <w:kern w:val="0"/>
                <w:sz w:val="20"/>
                <w:szCs w:val="20"/>
              </w:rPr>
              <w:t>商务需求</w:t>
            </w:r>
            <w:r>
              <w:rPr>
                <w:rFonts w:ascii="宋体" w:hAnsi="宋体"/>
                <w:kern w:val="0"/>
                <w:sz w:val="20"/>
                <w:szCs w:val="20"/>
              </w:rPr>
              <w:t xml:space="preserve"> </w:t>
            </w:r>
          </w:p>
        </w:tc>
        <w:tc>
          <w:tcPr>
            <w:tcW w:w="9965" w:type="dxa"/>
            <w:gridSpan w:val="3"/>
            <w:vAlign w:val="center"/>
          </w:tcPr>
          <w:tbl>
            <w:tblPr>
              <w:tblStyle w:val="14"/>
              <w:tblW w:w="471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235"/>
              <w:gridCol w:w="7347"/>
            </w:tblGrid>
            <w:tr w14:paraId="459DEA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l2br w:val="nil"/>
                    <w:tr2bl w:val="nil"/>
                  </w:tcBorders>
                  <w:vAlign w:val="center"/>
                </w:tcPr>
                <w:p w14:paraId="7DB4374C">
                  <w:pPr>
                    <w:spacing w:line="360" w:lineRule="exact"/>
                    <w:jc w:val="center"/>
                    <w:rPr>
                      <w:rFonts w:ascii="宋体" w:hAnsi="宋体"/>
                      <w:b/>
                      <w:szCs w:val="21"/>
                    </w:rPr>
                  </w:pPr>
                  <w:r>
                    <w:rPr>
                      <w:rFonts w:hint="eastAsia" w:ascii="宋体" w:hAnsi="宋体"/>
                      <w:b/>
                      <w:szCs w:val="21"/>
                    </w:rPr>
                    <w:t>序号</w:t>
                  </w:r>
                </w:p>
              </w:tc>
              <w:tc>
                <w:tcPr>
                  <w:tcW w:w="663" w:type="pct"/>
                  <w:tcBorders>
                    <w:tl2br w:val="nil"/>
                    <w:tr2bl w:val="nil"/>
                  </w:tcBorders>
                  <w:vAlign w:val="center"/>
                </w:tcPr>
                <w:p w14:paraId="49E3EB12">
                  <w:pPr>
                    <w:spacing w:line="360" w:lineRule="exact"/>
                    <w:jc w:val="center"/>
                    <w:rPr>
                      <w:rFonts w:ascii="宋体" w:hAnsi="宋体"/>
                      <w:b/>
                      <w:szCs w:val="21"/>
                    </w:rPr>
                  </w:pPr>
                  <w:r>
                    <w:rPr>
                      <w:rFonts w:hint="eastAsia" w:ascii="宋体" w:hAnsi="宋体"/>
                      <w:b/>
                      <w:szCs w:val="21"/>
                    </w:rPr>
                    <w:t>目录</w:t>
                  </w:r>
                </w:p>
              </w:tc>
              <w:tc>
                <w:tcPr>
                  <w:tcW w:w="3943" w:type="pct"/>
                  <w:tcBorders>
                    <w:tl2br w:val="nil"/>
                    <w:tr2bl w:val="nil"/>
                  </w:tcBorders>
                  <w:vAlign w:val="center"/>
                </w:tcPr>
                <w:p w14:paraId="490C47BD">
                  <w:pPr>
                    <w:spacing w:line="360" w:lineRule="exact"/>
                    <w:jc w:val="center"/>
                    <w:rPr>
                      <w:rFonts w:ascii="宋体" w:hAnsi="宋体"/>
                      <w:b/>
                      <w:szCs w:val="21"/>
                    </w:rPr>
                  </w:pPr>
                  <w:r>
                    <w:rPr>
                      <w:rFonts w:hint="eastAsia" w:ascii="宋体" w:hAnsi="宋体"/>
                      <w:b/>
                      <w:szCs w:val="21"/>
                    </w:rPr>
                    <w:t>招标商务需求</w:t>
                  </w:r>
                </w:p>
              </w:tc>
            </w:tr>
            <w:tr w14:paraId="73C3EA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l2br w:val="nil"/>
                    <w:tr2bl w:val="nil"/>
                  </w:tcBorders>
                </w:tcPr>
                <w:p w14:paraId="18BE8600">
                  <w:pPr>
                    <w:spacing w:line="360" w:lineRule="exact"/>
                    <w:rPr>
                      <w:rFonts w:ascii="宋体" w:hAnsi="宋体"/>
                      <w:b/>
                      <w:szCs w:val="21"/>
                    </w:rPr>
                  </w:pPr>
                  <w:r>
                    <w:rPr>
                      <w:rFonts w:hint="eastAsia" w:ascii="宋体" w:hAnsi="宋体"/>
                      <w:b/>
                      <w:szCs w:val="21"/>
                    </w:rPr>
                    <w:t>（一）免费保修期内售后服务要求</w:t>
                  </w:r>
                </w:p>
              </w:tc>
            </w:tr>
            <w:tr w14:paraId="018D1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l2br w:val="nil"/>
                    <w:tr2bl w:val="nil"/>
                  </w:tcBorders>
                  <w:vAlign w:val="center"/>
                </w:tcPr>
                <w:p w14:paraId="63AD0686">
                  <w:pPr>
                    <w:spacing w:line="360" w:lineRule="exact"/>
                    <w:jc w:val="center"/>
                    <w:rPr>
                      <w:rFonts w:ascii="宋体" w:hAnsi="宋体"/>
                      <w:b/>
                      <w:szCs w:val="21"/>
                    </w:rPr>
                  </w:pPr>
                  <w:r>
                    <w:rPr>
                      <w:rFonts w:hint="eastAsia" w:ascii="宋体" w:hAnsi="宋体"/>
                      <w:b/>
                      <w:szCs w:val="21"/>
                    </w:rPr>
                    <w:t>1</w:t>
                  </w:r>
                </w:p>
              </w:tc>
              <w:tc>
                <w:tcPr>
                  <w:tcW w:w="663" w:type="pct"/>
                  <w:vMerge w:val="restart"/>
                  <w:tcBorders>
                    <w:tl2br w:val="nil"/>
                    <w:tr2bl w:val="nil"/>
                  </w:tcBorders>
                  <w:vAlign w:val="center"/>
                </w:tcPr>
                <w:p w14:paraId="671DBCC0">
                  <w:pPr>
                    <w:spacing w:line="360" w:lineRule="exact"/>
                    <w:jc w:val="center"/>
                    <w:rPr>
                      <w:rFonts w:ascii="宋体" w:hAnsi="宋体"/>
                      <w:szCs w:val="21"/>
                    </w:rPr>
                  </w:pPr>
                  <w:r>
                    <w:rPr>
                      <w:rFonts w:hint="eastAsia" w:ascii="宋体" w:hAnsi="宋体"/>
                      <w:szCs w:val="21"/>
                    </w:rPr>
                    <w:t>维修响应及故障解决时间</w:t>
                  </w:r>
                </w:p>
              </w:tc>
              <w:tc>
                <w:tcPr>
                  <w:tcW w:w="3943" w:type="pct"/>
                  <w:tcBorders>
                    <w:tl2br w:val="nil"/>
                    <w:tr2bl w:val="nil"/>
                  </w:tcBorders>
                </w:tcPr>
                <w:p w14:paraId="7A9C2BEC">
                  <w:pPr>
                    <w:spacing w:line="360" w:lineRule="exact"/>
                    <w:rPr>
                      <w:rFonts w:ascii="宋体" w:hAnsi="宋体"/>
                      <w:b/>
                      <w:szCs w:val="21"/>
                    </w:rPr>
                  </w:pPr>
                  <w:r>
                    <w:rPr>
                      <w:rFonts w:hint="eastAsia" w:ascii="宋体" w:hAnsi="宋体"/>
                      <w:bCs/>
                      <w:szCs w:val="21"/>
                    </w:rPr>
                    <w:t>1.★各参与投标的单位应在投标文件中列明各主机、配件和易耗品的保修期限,并承诺免费保修期</w:t>
                  </w:r>
                  <w:r>
                    <w:rPr>
                      <w:rFonts w:hint="eastAsia" w:ascii="宋体" w:hAnsi="宋体"/>
                      <w:bCs/>
                      <w:szCs w:val="21"/>
                      <w:u w:val="single"/>
                    </w:rPr>
                    <w:t xml:space="preserve"> </w:t>
                  </w:r>
                  <w:r>
                    <w:rPr>
                      <w:rFonts w:ascii="宋体" w:hAnsi="宋体"/>
                      <w:bCs/>
                      <w:szCs w:val="21"/>
                      <w:u w:val="single"/>
                    </w:rPr>
                    <w:t>1</w:t>
                  </w:r>
                  <w:r>
                    <w:rPr>
                      <w:rFonts w:hint="eastAsia" w:ascii="宋体" w:hAnsi="宋体"/>
                      <w:bCs/>
                      <w:szCs w:val="21"/>
                      <w:u w:val="single"/>
                    </w:rPr>
                    <w:t xml:space="preserve"> </w:t>
                  </w:r>
                  <w:r>
                    <w:rPr>
                      <w:rFonts w:hint="eastAsia" w:ascii="宋体" w:hAnsi="宋体"/>
                      <w:bCs/>
                      <w:szCs w:val="21"/>
                    </w:rPr>
                    <w:t>年,并提供终身维修服务。保修期内免费更换零配件及免工时费。设备在保修期内需由原厂进行维修，每次维修完成出具原厂维修报告。</w:t>
                  </w:r>
                </w:p>
              </w:tc>
            </w:tr>
            <w:tr w14:paraId="50F731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6DB7E0FF">
                  <w:pPr>
                    <w:spacing w:line="360" w:lineRule="exact"/>
                    <w:jc w:val="center"/>
                    <w:rPr>
                      <w:rFonts w:ascii="宋体" w:hAnsi="宋体"/>
                      <w:b/>
                      <w:szCs w:val="21"/>
                    </w:rPr>
                  </w:pPr>
                </w:p>
              </w:tc>
              <w:tc>
                <w:tcPr>
                  <w:tcW w:w="663" w:type="pct"/>
                  <w:vMerge w:val="continue"/>
                  <w:tcBorders>
                    <w:tl2br w:val="nil"/>
                    <w:tr2bl w:val="nil"/>
                  </w:tcBorders>
                  <w:vAlign w:val="center"/>
                </w:tcPr>
                <w:p w14:paraId="1FE15BE4">
                  <w:pPr>
                    <w:spacing w:line="360" w:lineRule="exact"/>
                    <w:jc w:val="center"/>
                    <w:rPr>
                      <w:rFonts w:ascii="宋体" w:hAnsi="宋体"/>
                      <w:szCs w:val="21"/>
                    </w:rPr>
                  </w:pPr>
                </w:p>
              </w:tc>
              <w:tc>
                <w:tcPr>
                  <w:tcW w:w="3943" w:type="pct"/>
                  <w:tcBorders>
                    <w:tl2br w:val="nil"/>
                    <w:tr2bl w:val="nil"/>
                  </w:tcBorders>
                </w:tcPr>
                <w:p w14:paraId="645E9483">
                  <w:pPr>
                    <w:spacing w:line="360" w:lineRule="exact"/>
                    <w:rPr>
                      <w:rFonts w:ascii="宋体" w:hAnsi="宋体"/>
                      <w:bCs/>
                      <w:szCs w:val="21"/>
                    </w:rPr>
                  </w:pPr>
                  <w:r>
                    <w:rPr>
                      <w:rFonts w:hint="eastAsia" w:ascii="宋体" w:hAnsi="宋体"/>
                      <w:kern w:val="0"/>
                      <w:szCs w:val="21"/>
                    </w:rPr>
                    <w:t>2.由设备制造商提供售后服务，</w:t>
                  </w:r>
                  <w:r>
                    <w:rPr>
                      <w:rFonts w:hint="eastAsia" w:ascii="宋体" w:hAnsi="宋体"/>
                      <w:bCs/>
                      <w:kern w:val="0"/>
                      <w:szCs w:val="21"/>
                      <w:u w:val="single"/>
                    </w:rPr>
                    <w:t xml:space="preserve">  1  </w:t>
                  </w:r>
                  <w:r>
                    <w:rPr>
                      <w:rFonts w:hint="eastAsia" w:ascii="宋体" w:hAnsi="宋体"/>
                      <w:kern w:val="0"/>
                      <w:szCs w:val="21"/>
                    </w:rPr>
                    <w:t>小时内响应，</w:t>
                  </w:r>
                  <w:r>
                    <w:rPr>
                      <w:rFonts w:hint="eastAsia" w:ascii="宋体" w:hAnsi="宋体"/>
                      <w:bCs/>
                      <w:kern w:val="0"/>
                      <w:szCs w:val="21"/>
                      <w:u w:val="single"/>
                    </w:rPr>
                    <w:t xml:space="preserve"> 48  </w:t>
                  </w:r>
                  <w:r>
                    <w:rPr>
                      <w:rFonts w:hint="eastAsia" w:ascii="宋体" w:hAnsi="宋体"/>
                      <w:kern w:val="0"/>
                      <w:szCs w:val="21"/>
                    </w:rPr>
                    <w:t>小时维修到位（不可抗力情况除外）。</w:t>
                  </w:r>
                  <w:r>
                    <w:rPr>
                      <w:rFonts w:hint="eastAsia" w:ascii="宋体" w:hAnsi="宋体"/>
                      <w:szCs w:val="21"/>
                    </w:rPr>
                    <w:t>每两个月对仪器进行巡访，并对仪器进行维护和保养。</w:t>
                  </w:r>
                  <w:r>
                    <w:rPr>
                      <w:rFonts w:hint="eastAsia" w:ascii="宋体" w:hAnsi="宋体"/>
                      <w:color w:val="000000"/>
                      <w:szCs w:val="21"/>
                    </w:rPr>
                    <w:t>LIS /HIS接入技术配合。</w:t>
                  </w:r>
                  <w:r>
                    <w:rPr>
                      <w:rFonts w:hint="eastAsia" w:ascii="宋体" w:hAnsi="宋体"/>
                      <w:kern w:val="0"/>
                      <w:szCs w:val="21"/>
                    </w:rPr>
                    <w:t>消耗品和零配件按要求及时限供应，特殊情况下须提供备用机。</w:t>
                  </w:r>
                </w:p>
              </w:tc>
            </w:tr>
            <w:tr w14:paraId="3DDA0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l2br w:val="nil"/>
                    <w:tr2bl w:val="nil"/>
                  </w:tcBorders>
                  <w:vAlign w:val="center"/>
                </w:tcPr>
                <w:p w14:paraId="24562149">
                  <w:pPr>
                    <w:spacing w:line="360" w:lineRule="exact"/>
                    <w:jc w:val="center"/>
                    <w:rPr>
                      <w:rFonts w:ascii="宋体" w:hAnsi="宋体"/>
                      <w:szCs w:val="21"/>
                    </w:rPr>
                  </w:pPr>
                  <w:r>
                    <w:rPr>
                      <w:rFonts w:hint="eastAsia" w:ascii="宋体" w:hAnsi="宋体"/>
                      <w:szCs w:val="21"/>
                    </w:rPr>
                    <w:t>2</w:t>
                  </w:r>
                </w:p>
              </w:tc>
              <w:tc>
                <w:tcPr>
                  <w:tcW w:w="663" w:type="pct"/>
                  <w:tcBorders>
                    <w:tl2br w:val="nil"/>
                    <w:tr2bl w:val="nil"/>
                  </w:tcBorders>
                  <w:vAlign w:val="center"/>
                </w:tcPr>
                <w:p w14:paraId="65E72187">
                  <w:pPr>
                    <w:spacing w:line="360" w:lineRule="exact"/>
                    <w:jc w:val="center"/>
                    <w:rPr>
                      <w:rFonts w:ascii="宋体" w:hAnsi="宋体"/>
                      <w:szCs w:val="21"/>
                    </w:rPr>
                  </w:pPr>
                  <w:r>
                    <w:rPr>
                      <w:rFonts w:hint="eastAsia" w:ascii="宋体" w:hAnsi="宋体"/>
                      <w:szCs w:val="21"/>
                    </w:rPr>
                    <w:t>关于免费保修期</w:t>
                  </w:r>
                </w:p>
              </w:tc>
              <w:tc>
                <w:tcPr>
                  <w:tcW w:w="3943" w:type="pct"/>
                  <w:tcBorders>
                    <w:tl2br w:val="nil"/>
                    <w:tr2bl w:val="nil"/>
                  </w:tcBorders>
                </w:tcPr>
                <w:p w14:paraId="27043507">
                  <w:pPr>
                    <w:spacing w:line="360" w:lineRule="exact"/>
                    <w:rPr>
                      <w:rFonts w:ascii="宋体" w:hAnsi="宋体"/>
                      <w:szCs w:val="21"/>
                    </w:rPr>
                  </w:pPr>
                  <w:r>
                    <w:rPr>
                      <w:rFonts w:hint="eastAsia" w:ascii="宋体" w:hAnsi="宋体"/>
                      <w:szCs w:val="21"/>
                    </w:rPr>
                    <w:t>1.参与投标的单位负责货物的终身维修，保证10年及以上供应维修配件，如果因机器和配件停产造成设备无法维修则需免费更换整机保证使用。</w:t>
                  </w:r>
                </w:p>
                <w:p w14:paraId="08B459F6">
                  <w:pPr>
                    <w:spacing w:line="360" w:lineRule="exact"/>
                    <w:rPr>
                      <w:rFonts w:ascii="宋体" w:hAnsi="宋体"/>
                      <w:b/>
                      <w:szCs w:val="21"/>
                    </w:rPr>
                  </w:pPr>
                  <w:r>
                    <w:rPr>
                      <w:rFonts w:hint="eastAsia" w:ascii="宋体" w:hAnsi="宋体"/>
                      <w:szCs w:val="21"/>
                    </w:rPr>
                    <w:t>2.</w:t>
                  </w:r>
                  <w:r>
                    <w:rPr>
                      <w:rFonts w:hint="eastAsia"/>
                    </w:rPr>
                    <w:t>提供10年及以上免费的软件升级服务</w:t>
                  </w:r>
                  <w:r>
                    <w:rPr>
                      <w:rFonts w:hint="eastAsia" w:ascii="宋体" w:hAnsi="宋体"/>
                      <w:szCs w:val="21"/>
                    </w:rPr>
                    <w:t>,并免费开放设备接口参数，无偿派人配合与医院信息系统的连接工作，直至该设备与医院信息系统可进行完整的数据交换；在设备保修期内，当医院信息系统变更并需要与该设备连接时，需无偿派人配合直至该设备与医院信息系统可进行完整的数据交换。</w:t>
                  </w:r>
                </w:p>
              </w:tc>
            </w:tr>
            <w:tr w14:paraId="5E28C5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l2br w:val="nil"/>
                    <w:tr2bl w:val="nil"/>
                  </w:tcBorders>
                  <w:vAlign w:val="center"/>
                </w:tcPr>
                <w:p w14:paraId="42167985">
                  <w:pPr>
                    <w:spacing w:line="360" w:lineRule="exact"/>
                    <w:jc w:val="center"/>
                    <w:rPr>
                      <w:rFonts w:ascii="宋体" w:hAnsi="宋体"/>
                      <w:bCs/>
                      <w:szCs w:val="21"/>
                    </w:rPr>
                  </w:pPr>
                  <w:r>
                    <w:rPr>
                      <w:rFonts w:hint="eastAsia" w:ascii="宋体" w:hAnsi="宋体"/>
                      <w:bCs/>
                      <w:szCs w:val="21"/>
                    </w:rPr>
                    <w:t>3</w:t>
                  </w:r>
                </w:p>
              </w:tc>
              <w:tc>
                <w:tcPr>
                  <w:tcW w:w="663" w:type="pct"/>
                  <w:vMerge w:val="restart"/>
                  <w:tcBorders>
                    <w:tl2br w:val="nil"/>
                    <w:tr2bl w:val="nil"/>
                  </w:tcBorders>
                  <w:vAlign w:val="center"/>
                </w:tcPr>
                <w:p w14:paraId="1D5BBE75">
                  <w:pPr>
                    <w:spacing w:line="360" w:lineRule="exact"/>
                    <w:jc w:val="center"/>
                    <w:rPr>
                      <w:rFonts w:ascii="宋体" w:hAnsi="宋体"/>
                      <w:bCs/>
                      <w:szCs w:val="21"/>
                    </w:rPr>
                  </w:pPr>
                  <w:r>
                    <w:rPr>
                      <w:rFonts w:hint="eastAsia" w:ascii="宋体" w:hAnsi="宋体"/>
                      <w:bCs/>
                      <w:szCs w:val="21"/>
                    </w:rPr>
                    <w:t>其他</w:t>
                  </w:r>
                </w:p>
              </w:tc>
              <w:tc>
                <w:tcPr>
                  <w:tcW w:w="3943" w:type="pct"/>
                  <w:tcBorders>
                    <w:tl2br w:val="nil"/>
                    <w:tr2bl w:val="nil"/>
                  </w:tcBorders>
                </w:tcPr>
                <w:p w14:paraId="0BDAFAA6">
                  <w:pPr>
                    <w:spacing w:line="360" w:lineRule="exact"/>
                    <w:rPr>
                      <w:rFonts w:ascii="宋体" w:hAnsi="宋体"/>
                      <w:b/>
                      <w:szCs w:val="21"/>
                    </w:rPr>
                  </w:pPr>
                  <w:r>
                    <w:rPr>
                      <w:rFonts w:hint="eastAsia" w:ascii="宋体" w:hAnsi="宋体"/>
                      <w:kern w:val="0"/>
                      <w:szCs w:val="21"/>
                    </w:rPr>
                    <w:t>1.在保修期内, 参与投标的单位应确保年开机率在95%（含）以上, 若不能达到此开机率，将作以下处理：a. 年开机率在90-95%之间按一赔</w:t>
                  </w:r>
                  <w:r>
                    <w:rPr>
                      <w:rFonts w:hint="eastAsia" w:ascii="宋体" w:hAnsi="宋体"/>
                      <w:kern w:val="0"/>
                      <w:szCs w:val="21"/>
                      <w:u w:val="single"/>
                    </w:rPr>
                    <w:t xml:space="preserve">  2  </w:t>
                  </w:r>
                  <w:r>
                    <w:rPr>
                      <w:rFonts w:hint="eastAsia" w:ascii="宋体" w:hAnsi="宋体"/>
                      <w:kern w:val="0"/>
                      <w:szCs w:val="21"/>
                    </w:rPr>
                    <w:t>延长保修期；b. 年开机率在85-90%之间按一赔</w:t>
                  </w:r>
                  <w:r>
                    <w:rPr>
                      <w:rFonts w:hint="eastAsia" w:ascii="宋体" w:hAnsi="宋体"/>
                      <w:kern w:val="0"/>
                      <w:szCs w:val="21"/>
                      <w:u w:val="single"/>
                    </w:rPr>
                    <w:t xml:space="preserve"> 3</w:t>
                  </w:r>
                  <w:r>
                    <w:rPr>
                      <w:rFonts w:hint="eastAsia" w:ascii="宋体" w:hAnsi="宋体"/>
                      <w:kern w:val="0"/>
                      <w:szCs w:val="21"/>
                    </w:rPr>
                    <w:t>延长保修期；c. 年开机率低于85%，参与投标的单位必须无条件更换新机，并重新计算保修期，以及赔偿用户的直接经济损失和间接经济损失。注：年开机率=（365-停机天数）/365）</w:t>
                  </w:r>
                </w:p>
              </w:tc>
            </w:tr>
            <w:tr w14:paraId="28DED7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317F30BF">
                  <w:pPr>
                    <w:spacing w:line="360" w:lineRule="exact"/>
                    <w:jc w:val="center"/>
                    <w:rPr>
                      <w:rFonts w:ascii="宋体" w:hAnsi="宋体"/>
                      <w:b/>
                      <w:szCs w:val="21"/>
                    </w:rPr>
                  </w:pPr>
                </w:p>
              </w:tc>
              <w:tc>
                <w:tcPr>
                  <w:tcW w:w="663" w:type="pct"/>
                  <w:vMerge w:val="continue"/>
                  <w:tcBorders>
                    <w:tl2br w:val="nil"/>
                    <w:tr2bl w:val="nil"/>
                  </w:tcBorders>
                  <w:vAlign w:val="center"/>
                </w:tcPr>
                <w:p w14:paraId="5E80417E">
                  <w:pPr>
                    <w:spacing w:line="360" w:lineRule="exact"/>
                    <w:rPr>
                      <w:rFonts w:ascii="宋体" w:hAnsi="宋体"/>
                      <w:szCs w:val="21"/>
                    </w:rPr>
                  </w:pPr>
                </w:p>
              </w:tc>
              <w:tc>
                <w:tcPr>
                  <w:tcW w:w="3943" w:type="pct"/>
                  <w:tcBorders>
                    <w:tl2br w:val="nil"/>
                    <w:tr2bl w:val="nil"/>
                  </w:tcBorders>
                </w:tcPr>
                <w:p w14:paraId="3785CA63">
                  <w:pPr>
                    <w:spacing w:line="360" w:lineRule="exact"/>
                    <w:rPr>
                      <w:rFonts w:ascii="宋体" w:hAnsi="宋体"/>
                      <w:bCs/>
                      <w:szCs w:val="21"/>
                    </w:rPr>
                  </w:pPr>
                  <w:r>
                    <w:rPr>
                      <w:rFonts w:hint="eastAsia" w:ascii="宋体" w:hAnsi="宋体"/>
                      <w:kern w:val="0"/>
                      <w:szCs w:val="21"/>
                    </w:rPr>
                    <w:t>2.保修期到期前一个月内参与投标的单位需提供设备运行状态评估报告及过保后设备维护方案，保证提供有效的非现场技术支持服务和联系方式。</w:t>
                  </w:r>
                </w:p>
              </w:tc>
            </w:tr>
            <w:tr w14:paraId="6460A3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l2br w:val="nil"/>
                    <w:tr2bl w:val="nil"/>
                  </w:tcBorders>
                </w:tcPr>
                <w:p w14:paraId="005BFA1B">
                  <w:pPr>
                    <w:spacing w:line="360" w:lineRule="exact"/>
                    <w:rPr>
                      <w:rFonts w:ascii="宋体" w:hAnsi="宋体"/>
                      <w:b/>
                      <w:szCs w:val="21"/>
                    </w:rPr>
                  </w:pPr>
                  <w:r>
                    <w:rPr>
                      <w:rFonts w:hint="eastAsia" w:ascii="宋体" w:hAnsi="宋体"/>
                      <w:b/>
                      <w:szCs w:val="21"/>
                    </w:rPr>
                    <w:t>（二）免费保修期外售后服务要求</w:t>
                  </w:r>
                </w:p>
              </w:tc>
            </w:tr>
            <w:tr w14:paraId="5EF387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l2br w:val="nil"/>
                    <w:tr2bl w:val="nil"/>
                  </w:tcBorders>
                  <w:vAlign w:val="center"/>
                </w:tcPr>
                <w:p w14:paraId="268B6B43">
                  <w:pPr>
                    <w:spacing w:line="360" w:lineRule="exact"/>
                    <w:jc w:val="center"/>
                    <w:rPr>
                      <w:rFonts w:ascii="宋体" w:hAnsi="宋体"/>
                      <w:bCs/>
                      <w:szCs w:val="21"/>
                    </w:rPr>
                  </w:pPr>
                  <w:r>
                    <w:rPr>
                      <w:rFonts w:hint="eastAsia" w:ascii="宋体" w:hAnsi="宋体"/>
                      <w:bCs/>
                      <w:szCs w:val="21"/>
                    </w:rPr>
                    <w:t>1</w:t>
                  </w:r>
                </w:p>
              </w:tc>
              <w:tc>
                <w:tcPr>
                  <w:tcW w:w="663" w:type="pct"/>
                  <w:vMerge w:val="restart"/>
                  <w:tcBorders>
                    <w:tl2br w:val="nil"/>
                    <w:tr2bl w:val="nil"/>
                  </w:tcBorders>
                  <w:vAlign w:val="center"/>
                </w:tcPr>
                <w:p w14:paraId="602319A6">
                  <w:pPr>
                    <w:spacing w:line="360" w:lineRule="exact"/>
                    <w:jc w:val="center"/>
                    <w:rPr>
                      <w:rFonts w:ascii="宋体" w:hAnsi="宋体"/>
                      <w:bCs/>
                      <w:szCs w:val="21"/>
                    </w:rPr>
                  </w:pPr>
                  <w:r>
                    <w:rPr>
                      <w:rFonts w:hint="eastAsia" w:ascii="宋体" w:hAnsi="宋体"/>
                      <w:bCs/>
                      <w:szCs w:val="21"/>
                    </w:rPr>
                    <w:t>维修零配件、消耗品和延续保修合同的投标</w:t>
                  </w:r>
                </w:p>
              </w:tc>
              <w:tc>
                <w:tcPr>
                  <w:tcW w:w="3943" w:type="pct"/>
                  <w:tcBorders>
                    <w:tl2br w:val="nil"/>
                    <w:tr2bl w:val="nil"/>
                  </w:tcBorders>
                </w:tcPr>
                <w:p w14:paraId="4E454078">
                  <w:pPr>
                    <w:spacing w:line="360" w:lineRule="exact"/>
                    <w:rPr>
                      <w:rFonts w:ascii="宋体" w:hAnsi="宋体"/>
                      <w:b/>
                      <w:szCs w:val="21"/>
                    </w:rPr>
                  </w:pPr>
                  <w:r>
                    <w:rPr>
                      <w:rFonts w:hint="eastAsia" w:ascii="宋体" w:hAnsi="宋体"/>
                      <w:kern w:val="0"/>
                      <w:szCs w:val="21"/>
                    </w:rPr>
                    <w:t>1.由设备制造商提供售后服务，</w:t>
                  </w:r>
                  <w:r>
                    <w:rPr>
                      <w:rFonts w:hint="eastAsia" w:ascii="宋体" w:hAnsi="宋体"/>
                      <w:bCs/>
                      <w:kern w:val="0"/>
                      <w:szCs w:val="21"/>
                      <w:u w:val="single"/>
                    </w:rPr>
                    <w:t xml:space="preserve"> 1 </w:t>
                  </w:r>
                  <w:r>
                    <w:rPr>
                      <w:rFonts w:hint="eastAsia" w:ascii="宋体" w:hAnsi="宋体"/>
                      <w:kern w:val="0"/>
                      <w:szCs w:val="21"/>
                    </w:rPr>
                    <w:t>小时内响应，</w:t>
                  </w:r>
                  <w:r>
                    <w:rPr>
                      <w:rFonts w:hint="eastAsia" w:ascii="宋体" w:hAnsi="宋体"/>
                      <w:bCs/>
                      <w:kern w:val="0"/>
                      <w:szCs w:val="21"/>
                      <w:u w:val="single"/>
                    </w:rPr>
                    <w:t xml:space="preserve"> 48  </w:t>
                  </w:r>
                  <w:r>
                    <w:rPr>
                      <w:rFonts w:hint="eastAsia" w:ascii="宋体" w:hAnsi="宋体"/>
                      <w:kern w:val="0"/>
                      <w:szCs w:val="21"/>
                    </w:rPr>
                    <w:t>小时维修到位（不可抗力情况除外）。</w:t>
                  </w:r>
                  <w:r>
                    <w:rPr>
                      <w:rFonts w:hint="eastAsia" w:cs="Times New Roman"/>
                      <w:bCs/>
                      <w:szCs w:val="21"/>
                    </w:rPr>
                    <w:t>消耗品和零配件按医院要求及时限供应，</w:t>
                  </w:r>
                  <w:r>
                    <w:rPr>
                      <w:rFonts w:hint="eastAsia" w:ascii="宋体" w:hAnsi="宋体"/>
                      <w:kern w:val="0"/>
                      <w:szCs w:val="21"/>
                    </w:rPr>
                    <w:t>特殊情况下需提供备用机。</w:t>
                  </w:r>
                </w:p>
              </w:tc>
            </w:tr>
            <w:tr w14:paraId="7D6B78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1DF40244">
                  <w:pPr>
                    <w:spacing w:line="360" w:lineRule="exact"/>
                    <w:jc w:val="center"/>
                    <w:rPr>
                      <w:rFonts w:ascii="宋体" w:hAnsi="宋体"/>
                      <w:b/>
                      <w:szCs w:val="21"/>
                    </w:rPr>
                  </w:pPr>
                </w:p>
              </w:tc>
              <w:tc>
                <w:tcPr>
                  <w:tcW w:w="663" w:type="pct"/>
                  <w:vMerge w:val="continue"/>
                  <w:tcBorders>
                    <w:tl2br w:val="nil"/>
                    <w:tr2bl w:val="nil"/>
                  </w:tcBorders>
                </w:tcPr>
                <w:p w14:paraId="05335F3C">
                  <w:pPr>
                    <w:spacing w:line="360" w:lineRule="exact"/>
                    <w:rPr>
                      <w:rFonts w:ascii="宋体" w:hAnsi="宋体"/>
                      <w:b/>
                      <w:szCs w:val="21"/>
                    </w:rPr>
                  </w:pPr>
                </w:p>
              </w:tc>
              <w:tc>
                <w:tcPr>
                  <w:tcW w:w="3943" w:type="pct"/>
                  <w:tcBorders>
                    <w:tl2br w:val="nil"/>
                    <w:tr2bl w:val="nil"/>
                  </w:tcBorders>
                </w:tcPr>
                <w:p w14:paraId="26C05134">
                  <w:pPr>
                    <w:spacing w:line="360" w:lineRule="exact"/>
                    <w:rPr>
                      <w:rFonts w:ascii="宋体" w:hAnsi="宋体"/>
                      <w:b/>
                      <w:szCs w:val="21"/>
                    </w:rPr>
                  </w:pPr>
                  <w:r>
                    <w:rPr>
                      <w:rFonts w:hint="eastAsia" w:ascii="宋体" w:hAnsi="宋体"/>
                      <w:kern w:val="0"/>
                      <w:szCs w:val="21"/>
                    </w:rPr>
                    <w:t>2.</w:t>
                  </w:r>
                  <w:r>
                    <w:rPr>
                      <w:rFonts w:hint="eastAsia" w:cs="Times New Roman"/>
                      <w:bCs/>
                      <w:szCs w:val="21"/>
                    </w:rPr>
                    <w:t>由设备原厂商提供售后服务，</w:t>
                  </w:r>
                  <w:r>
                    <w:rPr>
                      <w:rFonts w:hint="eastAsia" w:ascii="宋体" w:hAnsi="宋体"/>
                      <w:kern w:val="0"/>
                      <w:szCs w:val="21"/>
                    </w:rPr>
                    <w:t>保修期满后，参与投标的单位应以优惠价供应维修零配件、消耗品和延续保修合同，需承诺</w:t>
                  </w:r>
                  <w:r>
                    <w:rPr>
                      <w:rFonts w:hint="eastAsia"/>
                    </w:rPr>
                    <w:t>只收取配件费，免人工费</w:t>
                  </w:r>
                  <w:r>
                    <w:rPr>
                      <w:rFonts w:hint="eastAsia" w:ascii="宋体" w:hAnsi="宋体"/>
                      <w:kern w:val="0"/>
                      <w:szCs w:val="21"/>
                    </w:rPr>
                    <w:t>。</w:t>
                  </w:r>
                </w:p>
              </w:tc>
            </w:tr>
            <w:tr w14:paraId="4D05D0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4C9F150C">
                  <w:pPr>
                    <w:spacing w:line="360" w:lineRule="exact"/>
                    <w:jc w:val="center"/>
                    <w:rPr>
                      <w:rFonts w:ascii="宋体" w:hAnsi="宋体"/>
                      <w:b/>
                      <w:szCs w:val="21"/>
                    </w:rPr>
                  </w:pPr>
                </w:p>
              </w:tc>
              <w:tc>
                <w:tcPr>
                  <w:tcW w:w="663" w:type="pct"/>
                  <w:vMerge w:val="continue"/>
                  <w:tcBorders>
                    <w:tl2br w:val="nil"/>
                    <w:tr2bl w:val="nil"/>
                  </w:tcBorders>
                </w:tcPr>
                <w:p w14:paraId="345B909E">
                  <w:pPr>
                    <w:spacing w:line="360" w:lineRule="exact"/>
                    <w:rPr>
                      <w:rFonts w:ascii="宋体" w:hAnsi="宋体"/>
                      <w:b/>
                      <w:szCs w:val="21"/>
                    </w:rPr>
                  </w:pPr>
                </w:p>
              </w:tc>
              <w:tc>
                <w:tcPr>
                  <w:tcW w:w="3943" w:type="pct"/>
                  <w:tcBorders>
                    <w:tl2br w:val="nil"/>
                    <w:tr2bl w:val="nil"/>
                  </w:tcBorders>
                </w:tcPr>
                <w:p w14:paraId="3F8356B8">
                  <w:pPr>
                    <w:spacing w:line="360" w:lineRule="exact"/>
                    <w:rPr>
                      <w:rFonts w:ascii="宋体" w:hAnsi="宋体"/>
                      <w:b/>
                      <w:szCs w:val="21"/>
                    </w:rPr>
                  </w:pPr>
                  <w:r>
                    <w:rPr>
                      <w:rFonts w:hint="eastAsia" w:ascii="宋体" w:hAnsi="宋体"/>
                      <w:kern w:val="0"/>
                      <w:szCs w:val="21"/>
                    </w:rPr>
                    <w:t>3.完成维修的货物经院方验收合格，且设备制造商提供维修专用发票后，院方支付维修费用。</w:t>
                  </w:r>
                </w:p>
              </w:tc>
            </w:tr>
            <w:tr w14:paraId="77D04B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0DBB0612">
                  <w:pPr>
                    <w:spacing w:line="360" w:lineRule="exact"/>
                    <w:jc w:val="center"/>
                    <w:rPr>
                      <w:rFonts w:ascii="宋体" w:hAnsi="宋体"/>
                      <w:b/>
                      <w:szCs w:val="21"/>
                    </w:rPr>
                  </w:pPr>
                </w:p>
              </w:tc>
              <w:tc>
                <w:tcPr>
                  <w:tcW w:w="663" w:type="pct"/>
                  <w:vMerge w:val="continue"/>
                  <w:tcBorders>
                    <w:tl2br w:val="nil"/>
                    <w:tr2bl w:val="nil"/>
                  </w:tcBorders>
                </w:tcPr>
                <w:p w14:paraId="1E316C5A">
                  <w:pPr>
                    <w:spacing w:line="360" w:lineRule="exact"/>
                    <w:rPr>
                      <w:rFonts w:ascii="宋体" w:hAnsi="宋体"/>
                      <w:b/>
                      <w:szCs w:val="21"/>
                    </w:rPr>
                  </w:pPr>
                </w:p>
              </w:tc>
              <w:tc>
                <w:tcPr>
                  <w:tcW w:w="3943" w:type="pct"/>
                  <w:tcBorders>
                    <w:tl2br w:val="nil"/>
                    <w:tr2bl w:val="nil"/>
                  </w:tcBorders>
                </w:tcPr>
                <w:p w14:paraId="6975B489">
                  <w:pPr>
                    <w:spacing w:line="360" w:lineRule="exact"/>
                    <w:rPr>
                      <w:rFonts w:ascii="宋体" w:hAnsi="宋体"/>
                      <w:b/>
                      <w:szCs w:val="21"/>
                    </w:rPr>
                  </w:pPr>
                  <w:r>
                    <w:rPr>
                      <w:rFonts w:hint="eastAsia" w:ascii="宋体" w:hAnsi="宋体"/>
                      <w:kern w:val="0"/>
                      <w:szCs w:val="21"/>
                    </w:rPr>
                    <w:t>4.参与投标的单位或设备制造商不得以任何理由不按时进行维修，不得要求院方购买所谓“保修服务”（即：不论设备有无故障先买保修服务），不得在设备中嵌设任何不利于院方使用与维修设备的障碍。</w:t>
                  </w:r>
                </w:p>
              </w:tc>
            </w:tr>
            <w:tr w14:paraId="1E71C6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l2br w:val="nil"/>
                    <w:tr2bl w:val="nil"/>
                  </w:tcBorders>
                </w:tcPr>
                <w:p w14:paraId="1BAB8F3C">
                  <w:pPr>
                    <w:spacing w:line="360" w:lineRule="exact"/>
                    <w:rPr>
                      <w:rFonts w:ascii="宋体" w:hAnsi="宋体"/>
                      <w:b/>
                      <w:szCs w:val="21"/>
                    </w:rPr>
                  </w:pPr>
                  <w:r>
                    <w:rPr>
                      <w:rFonts w:hint="eastAsia" w:ascii="宋体" w:hAnsi="宋体"/>
                      <w:b/>
                      <w:szCs w:val="21"/>
                    </w:rPr>
                    <w:t>（三）其他商务要求</w:t>
                  </w:r>
                </w:p>
              </w:tc>
            </w:tr>
            <w:tr w14:paraId="2CCF0A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l2br w:val="nil"/>
                    <w:tr2bl w:val="nil"/>
                  </w:tcBorders>
                  <w:vAlign w:val="center"/>
                </w:tcPr>
                <w:p w14:paraId="4804FD33">
                  <w:pPr>
                    <w:spacing w:line="360" w:lineRule="exact"/>
                    <w:jc w:val="center"/>
                    <w:rPr>
                      <w:rFonts w:ascii="宋体" w:hAnsi="宋体"/>
                      <w:bCs/>
                      <w:szCs w:val="21"/>
                    </w:rPr>
                  </w:pPr>
                  <w:r>
                    <w:rPr>
                      <w:rFonts w:hint="eastAsia" w:ascii="宋体" w:hAnsi="宋体"/>
                      <w:bCs/>
                      <w:szCs w:val="21"/>
                    </w:rPr>
                    <w:t>1</w:t>
                  </w:r>
                </w:p>
              </w:tc>
              <w:tc>
                <w:tcPr>
                  <w:tcW w:w="663" w:type="pct"/>
                  <w:vMerge w:val="restart"/>
                  <w:tcBorders>
                    <w:tl2br w:val="nil"/>
                    <w:tr2bl w:val="nil"/>
                  </w:tcBorders>
                  <w:vAlign w:val="center"/>
                </w:tcPr>
                <w:p w14:paraId="45D82692">
                  <w:pPr>
                    <w:spacing w:line="360" w:lineRule="exact"/>
                    <w:jc w:val="center"/>
                    <w:rPr>
                      <w:rFonts w:ascii="宋体" w:hAnsi="宋体"/>
                      <w:bCs/>
                      <w:szCs w:val="21"/>
                    </w:rPr>
                  </w:pPr>
                  <w:r>
                    <w:rPr>
                      <w:rFonts w:hint="eastAsia" w:ascii="宋体" w:hAnsi="宋体"/>
                      <w:bCs/>
                      <w:szCs w:val="21"/>
                    </w:rPr>
                    <w:t>关于交货</w:t>
                  </w:r>
                </w:p>
              </w:tc>
              <w:tc>
                <w:tcPr>
                  <w:tcW w:w="3943" w:type="pct"/>
                  <w:tcBorders>
                    <w:tl2br w:val="nil"/>
                    <w:tr2bl w:val="nil"/>
                  </w:tcBorders>
                </w:tcPr>
                <w:p w14:paraId="521BF495">
                  <w:pPr>
                    <w:spacing w:line="360" w:lineRule="exact"/>
                    <w:rPr>
                      <w:rFonts w:ascii="宋体" w:hAnsi="宋体"/>
                      <w:bCs/>
                      <w:szCs w:val="21"/>
                    </w:rPr>
                  </w:pPr>
                  <w:r>
                    <w:rPr>
                      <w:rFonts w:hint="eastAsia" w:ascii="宋体" w:hAnsi="宋体"/>
                      <w:bCs/>
                      <w:szCs w:val="21"/>
                    </w:rPr>
                    <w:t>1.交货地点：深圳市坪山区东纵路143号南方医科大学深圳口腔医院（坪山）</w:t>
                  </w:r>
                </w:p>
              </w:tc>
            </w:tr>
            <w:tr w14:paraId="0869A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3057684A">
                  <w:pPr>
                    <w:spacing w:line="360" w:lineRule="exact"/>
                    <w:jc w:val="center"/>
                    <w:rPr>
                      <w:rFonts w:ascii="宋体" w:hAnsi="宋体"/>
                      <w:bCs/>
                      <w:szCs w:val="21"/>
                    </w:rPr>
                  </w:pPr>
                </w:p>
              </w:tc>
              <w:tc>
                <w:tcPr>
                  <w:tcW w:w="663" w:type="pct"/>
                  <w:vMerge w:val="continue"/>
                  <w:tcBorders>
                    <w:tl2br w:val="nil"/>
                    <w:tr2bl w:val="nil"/>
                  </w:tcBorders>
                  <w:vAlign w:val="center"/>
                </w:tcPr>
                <w:p w14:paraId="7FC91285">
                  <w:pPr>
                    <w:spacing w:line="360" w:lineRule="exact"/>
                    <w:jc w:val="center"/>
                    <w:rPr>
                      <w:rFonts w:ascii="宋体" w:hAnsi="宋体"/>
                      <w:bCs/>
                      <w:szCs w:val="21"/>
                    </w:rPr>
                  </w:pPr>
                </w:p>
              </w:tc>
              <w:tc>
                <w:tcPr>
                  <w:tcW w:w="3943" w:type="pct"/>
                  <w:tcBorders>
                    <w:tl2br w:val="nil"/>
                    <w:tr2bl w:val="nil"/>
                  </w:tcBorders>
                </w:tcPr>
                <w:p w14:paraId="500C1FD8">
                  <w:pPr>
                    <w:spacing w:line="360" w:lineRule="exact"/>
                    <w:rPr>
                      <w:rFonts w:ascii="宋体" w:hAnsi="宋体"/>
                      <w:bCs/>
                      <w:szCs w:val="21"/>
                    </w:rPr>
                  </w:pPr>
                  <w:r>
                    <w:rPr>
                      <w:rFonts w:hint="eastAsia" w:ascii="宋体" w:hAnsi="宋体"/>
                      <w:bCs/>
                      <w:szCs w:val="21"/>
                    </w:rPr>
                    <w:t>2.参与投标的单位</w:t>
                  </w:r>
                  <w:r>
                    <w:rPr>
                      <w:rFonts w:hint="eastAsia" w:ascii="宋体" w:hAnsi="宋体"/>
                      <w:kern w:val="0"/>
                      <w:szCs w:val="21"/>
                    </w:rPr>
                    <w:t>应提供货物的技术文件，包括但不限于设备配置清单、产品说明书、图纸、操作手册、维护手册（含维修密码及接口数据）、质量保证文件、服务指南等，所有外文资料须提供中文译本。文件应随货物一并交付至院方指定地点。</w:t>
                  </w:r>
                </w:p>
              </w:tc>
            </w:tr>
            <w:tr w14:paraId="139051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1858FFE7">
                  <w:pPr>
                    <w:spacing w:line="360" w:lineRule="exact"/>
                    <w:jc w:val="center"/>
                    <w:rPr>
                      <w:rFonts w:ascii="宋体" w:hAnsi="宋体"/>
                      <w:bCs/>
                      <w:szCs w:val="21"/>
                    </w:rPr>
                  </w:pPr>
                </w:p>
              </w:tc>
              <w:tc>
                <w:tcPr>
                  <w:tcW w:w="663" w:type="pct"/>
                  <w:vMerge w:val="continue"/>
                  <w:tcBorders>
                    <w:tl2br w:val="nil"/>
                    <w:tr2bl w:val="nil"/>
                  </w:tcBorders>
                  <w:vAlign w:val="center"/>
                </w:tcPr>
                <w:p w14:paraId="25FEFC02">
                  <w:pPr>
                    <w:spacing w:line="360" w:lineRule="exact"/>
                    <w:jc w:val="center"/>
                    <w:rPr>
                      <w:rFonts w:ascii="宋体" w:hAnsi="宋体"/>
                      <w:bCs/>
                      <w:szCs w:val="21"/>
                    </w:rPr>
                  </w:pPr>
                </w:p>
              </w:tc>
              <w:tc>
                <w:tcPr>
                  <w:tcW w:w="3943" w:type="pct"/>
                  <w:tcBorders>
                    <w:tl2br w:val="nil"/>
                    <w:tr2bl w:val="nil"/>
                  </w:tcBorders>
                </w:tcPr>
                <w:p w14:paraId="7D4290CD">
                  <w:pPr>
                    <w:spacing w:line="360" w:lineRule="exact"/>
                    <w:rPr>
                      <w:rFonts w:ascii="宋体" w:hAnsi="宋体"/>
                      <w:bCs/>
                      <w:szCs w:val="21"/>
                    </w:rPr>
                  </w:pPr>
                  <w:r>
                    <w:rPr>
                      <w:rFonts w:hint="eastAsia" w:ascii="宋体" w:hAnsi="宋体"/>
                      <w:b/>
                      <w:szCs w:val="21"/>
                    </w:rPr>
                    <w:t>★</w:t>
                  </w:r>
                  <w:r>
                    <w:rPr>
                      <w:rFonts w:hint="eastAsia" w:ascii="宋体" w:hAnsi="宋体"/>
                      <w:bCs/>
                      <w:szCs w:val="21"/>
                    </w:rPr>
                    <w:t>3.签订合同后</w:t>
                  </w:r>
                  <w:r>
                    <w:rPr>
                      <w:rFonts w:hint="eastAsia" w:ascii="宋体" w:hAnsi="宋体"/>
                      <w:bCs/>
                      <w:szCs w:val="21"/>
                      <w:u w:val="single"/>
                    </w:rPr>
                    <w:t xml:space="preserve">   30   </w:t>
                  </w:r>
                  <w:r>
                    <w:rPr>
                      <w:rFonts w:hint="eastAsia" w:ascii="宋体" w:hAnsi="宋体"/>
                      <w:bCs/>
                      <w:szCs w:val="21"/>
                    </w:rPr>
                    <w:t>天（日历日）内交货。</w:t>
                  </w:r>
                </w:p>
              </w:tc>
            </w:tr>
            <w:tr w14:paraId="0E723C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l2br w:val="nil"/>
                    <w:tr2bl w:val="nil"/>
                  </w:tcBorders>
                  <w:vAlign w:val="center"/>
                </w:tcPr>
                <w:p w14:paraId="4A34CFB3">
                  <w:pPr>
                    <w:spacing w:line="360" w:lineRule="exact"/>
                    <w:jc w:val="center"/>
                    <w:rPr>
                      <w:rFonts w:ascii="宋体" w:hAnsi="宋体"/>
                      <w:bCs/>
                      <w:szCs w:val="21"/>
                    </w:rPr>
                  </w:pPr>
                  <w:r>
                    <w:rPr>
                      <w:rFonts w:hint="eastAsia" w:ascii="宋体" w:hAnsi="宋体"/>
                      <w:bCs/>
                      <w:szCs w:val="21"/>
                    </w:rPr>
                    <w:t>2</w:t>
                  </w:r>
                </w:p>
              </w:tc>
              <w:tc>
                <w:tcPr>
                  <w:tcW w:w="663" w:type="pct"/>
                  <w:vMerge w:val="restart"/>
                  <w:tcBorders>
                    <w:tl2br w:val="nil"/>
                    <w:tr2bl w:val="nil"/>
                  </w:tcBorders>
                  <w:vAlign w:val="center"/>
                </w:tcPr>
                <w:p w14:paraId="29929431">
                  <w:pPr>
                    <w:spacing w:line="360" w:lineRule="exact"/>
                    <w:jc w:val="center"/>
                    <w:rPr>
                      <w:rFonts w:ascii="宋体" w:hAnsi="宋体"/>
                      <w:bCs/>
                      <w:szCs w:val="21"/>
                    </w:rPr>
                  </w:pPr>
                  <w:r>
                    <w:rPr>
                      <w:rFonts w:hint="eastAsia" w:ascii="宋体" w:hAnsi="宋体"/>
                      <w:bCs/>
                      <w:szCs w:val="21"/>
                    </w:rPr>
                    <w:t>关于验收</w:t>
                  </w:r>
                </w:p>
              </w:tc>
              <w:tc>
                <w:tcPr>
                  <w:tcW w:w="3943" w:type="pct"/>
                  <w:tcBorders>
                    <w:tl2br w:val="nil"/>
                    <w:tr2bl w:val="nil"/>
                  </w:tcBorders>
                </w:tcPr>
                <w:p w14:paraId="0337B221">
                  <w:pPr>
                    <w:spacing w:line="360" w:lineRule="exact"/>
                    <w:rPr>
                      <w:rFonts w:ascii="宋体" w:hAnsi="宋体"/>
                      <w:bCs/>
                      <w:szCs w:val="21"/>
                    </w:rPr>
                  </w:pPr>
                  <w:r>
                    <w:rPr>
                      <w:rFonts w:hint="eastAsia" w:ascii="宋体" w:hAnsi="宋体"/>
                      <w:b/>
                      <w:szCs w:val="21"/>
                    </w:rPr>
                    <w:t>★</w:t>
                  </w:r>
                  <w:r>
                    <w:rPr>
                      <w:rFonts w:hint="eastAsia" w:ascii="宋体" w:hAnsi="宋体"/>
                      <w:bCs/>
                      <w:szCs w:val="21"/>
                    </w:rPr>
                    <w:t>1.</w:t>
                  </w:r>
                  <w:r>
                    <w:rPr>
                      <w:rFonts w:hint="eastAsia" w:ascii="宋体" w:hAnsi="宋体"/>
                      <w:spacing w:val="-3"/>
                      <w:szCs w:val="21"/>
                    </w:rPr>
                    <w:t>提供的货物必须为全新、经检验合格的产品。产品如需要计量检定的应提供相关计量检定部门出具的合法检定报告。其中，进口设备必须具有</w:t>
                  </w:r>
                  <w:r>
                    <w:rPr>
                      <w:rFonts w:hint="eastAsia" w:ascii="宋体" w:hAnsi="宋体"/>
                      <w:kern w:val="0"/>
                      <w:szCs w:val="21"/>
                    </w:rPr>
                    <w:t>报关证明</w:t>
                  </w:r>
                  <w:r>
                    <w:rPr>
                      <w:rFonts w:hint="eastAsia" w:ascii="宋体" w:hAnsi="宋体"/>
                      <w:spacing w:val="-3"/>
                      <w:szCs w:val="21"/>
                    </w:rPr>
                    <w:t>文件、</w:t>
                  </w:r>
                  <w:r>
                    <w:rPr>
                      <w:rFonts w:hint="eastAsia" w:ascii="宋体" w:hAnsi="宋体"/>
                      <w:kern w:val="0"/>
                      <w:szCs w:val="21"/>
                    </w:rPr>
                    <w:t>原产地证明和</w:t>
                  </w:r>
                  <w:r>
                    <w:rPr>
                      <w:rFonts w:hint="eastAsia" w:ascii="宋体" w:hAnsi="宋体"/>
                      <w:spacing w:val="-3"/>
                      <w:szCs w:val="21"/>
                    </w:rPr>
                    <w:t>商检合格证明文件。</w:t>
                  </w:r>
                </w:p>
              </w:tc>
            </w:tr>
            <w:tr w14:paraId="45EB3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552E4EF8">
                  <w:pPr>
                    <w:spacing w:line="360" w:lineRule="exact"/>
                    <w:jc w:val="center"/>
                    <w:rPr>
                      <w:rFonts w:ascii="宋体" w:hAnsi="宋体"/>
                      <w:bCs/>
                      <w:szCs w:val="21"/>
                    </w:rPr>
                  </w:pPr>
                </w:p>
              </w:tc>
              <w:tc>
                <w:tcPr>
                  <w:tcW w:w="663" w:type="pct"/>
                  <w:vMerge w:val="continue"/>
                  <w:tcBorders>
                    <w:tl2br w:val="nil"/>
                    <w:tr2bl w:val="nil"/>
                  </w:tcBorders>
                  <w:vAlign w:val="center"/>
                </w:tcPr>
                <w:p w14:paraId="2AE80053">
                  <w:pPr>
                    <w:spacing w:line="360" w:lineRule="exact"/>
                    <w:rPr>
                      <w:rFonts w:ascii="宋体" w:hAnsi="宋体"/>
                      <w:bCs/>
                      <w:szCs w:val="21"/>
                    </w:rPr>
                  </w:pPr>
                </w:p>
              </w:tc>
              <w:tc>
                <w:tcPr>
                  <w:tcW w:w="3943" w:type="pct"/>
                  <w:tcBorders>
                    <w:tl2br w:val="nil"/>
                    <w:tr2bl w:val="nil"/>
                  </w:tcBorders>
                </w:tcPr>
                <w:p w14:paraId="54D76AB4">
                  <w:pPr>
                    <w:tabs>
                      <w:tab w:val="left" w:pos="1260"/>
                    </w:tabs>
                    <w:spacing w:line="360" w:lineRule="exact"/>
                    <w:rPr>
                      <w:rFonts w:ascii="宋体" w:hAnsi="宋体"/>
                      <w:bCs/>
                      <w:szCs w:val="21"/>
                    </w:rPr>
                  </w:pPr>
                  <w:r>
                    <w:rPr>
                      <w:rFonts w:hint="eastAsia" w:ascii="宋体" w:hAnsi="宋体"/>
                      <w:bCs/>
                      <w:szCs w:val="21"/>
                    </w:rPr>
                    <w:t>2.参与投标的单位</w:t>
                  </w:r>
                  <w:r>
                    <w:rPr>
                      <w:rFonts w:hint="eastAsia" w:ascii="宋体" w:hAnsi="宋体"/>
                      <w:bCs/>
                      <w:kern w:val="0"/>
                      <w:szCs w:val="21"/>
                    </w:rPr>
                    <w:t>负责将</w:t>
                  </w:r>
                  <w:r>
                    <w:rPr>
                      <w:rFonts w:hint="eastAsia" w:ascii="宋体" w:hAnsi="宋体"/>
                      <w:kern w:val="0"/>
                      <w:szCs w:val="21"/>
                    </w:rPr>
                    <w:t>货物</w:t>
                  </w:r>
                  <w:r>
                    <w:rPr>
                      <w:rFonts w:hint="eastAsia" w:ascii="宋体" w:hAnsi="宋体"/>
                      <w:bCs/>
                      <w:kern w:val="0"/>
                      <w:szCs w:val="21"/>
                    </w:rPr>
                    <w:t>安全无损运抵院方指定地点,并承担设备的包装、运输、保险、装卸、安装调试、培训、商检及计量检测、关税、增值税和进口代理等费用。</w:t>
                  </w:r>
                  <w:r>
                    <w:rPr>
                      <w:rFonts w:hint="eastAsia" w:ascii="宋体" w:hAnsi="宋体"/>
                      <w:kern w:val="0"/>
                      <w:szCs w:val="21"/>
                    </w:rPr>
                    <w:t>机器安装调试完毕，医院正式投入使用1个月后，无故障方签署验收报告，保修期自签署验收报告之日起开始计算。</w:t>
                  </w:r>
                </w:p>
              </w:tc>
            </w:tr>
            <w:tr w14:paraId="6F964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512ECA0C">
                  <w:pPr>
                    <w:spacing w:line="360" w:lineRule="exact"/>
                    <w:jc w:val="center"/>
                    <w:rPr>
                      <w:rFonts w:ascii="宋体" w:hAnsi="宋体"/>
                      <w:bCs/>
                      <w:szCs w:val="21"/>
                    </w:rPr>
                  </w:pPr>
                </w:p>
              </w:tc>
              <w:tc>
                <w:tcPr>
                  <w:tcW w:w="663" w:type="pct"/>
                  <w:vMerge w:val="continue"/>
                  <w:tcBorders>
                    <w:tl2br w:val="nil"/>
                    <w:tr2bl w:val="nil"/>
                  </w:tcBorders>
                  <w:vAlign w:val="center"/>
                </w:tcPr>
                <w:p w14:paraId="533D227F">
                  <w:pPr>
                    <w:spacing w:line="360" w:lineRule="exact"/>
                    <w:rPr>
                      <w:rFonts w:ascii="宋体" w:hAnsi="宋体"/>
                      <w:bCs/>
                      <w:szCs w:val="21"/>
                    </w:rPr>
                  </w:pPr>
                </w:p>
              </w:tc>
              <w:tc>
                <w:tcPr>
                  <w:tcW w:w="3943" w:type="pct"/>
                  <w:tcBorders>
                    <w:tl2br w:val="nil"/>
                    <w:tr2bl w:val="nil"/>
                  </w:tcBorders>
                </w:tcPr>
                <w:p w14:paraId="39AB03C7">
                  <w:pPr>
                    <w:spacing w:line="360" w:lineRule="exact"/>
                    <w:rPr>
                      <w:rFonts w:ascii="宋体" w:hAnsi="宋体"/>
                      <w:b/>
                      <w:szCs w:val="21"/>
                    </w:rPr>
                  </w:pPr>
                  <w:r>
                    <w:rPr>
                      <w:rFonts w:hint="eastAsia" w:ascii="宋体" w:hAnsi="宋体"/>
                      <w:bCs/>
                      <w:szCs w:val="21"/>
                    </w:rPr>
                    <w:t>3.</w:t>
                  </w:r>
                  <w:r>
                    <w:rPr>
                      <w:rFonts w:hint="eastAsia" w:ascii="宋体" w:hAnsi="宋体"/>
                      <w:bCs/>
                      <w:kern w:val="0"/>
                      <w:szCs w:val="21"/>
                    </w:rPr>
                    <w:t>院方有权检验或测试货物，以确认货物是否符合合同规格的要求。如果发现所交货物与投标文件中所承诺的不符或存在质量、技术缺陷等,院方可以拒绝接收该货物,参与投标的单位应在</w:t>
                  </w:r>
                  <w:r>
                    <w:rPr>
                      <w:rFonts w:hint="eastAsia" w:ascii="宋体" w:hAnsi="宋体"/>
                      <w:bCs/>
                      <w:kern w:val="0"/>
                      <w:szCs w:val="21"/>
                      <w:u w:val="single"/>
                    </w:rPr>
                    <w:t xml:space="preserve">  7  </w:t>
                  </w:r>
                  <w:r>
                    <w:rPr>
                      <w:rFonts w:hint="eastAsia" w:ascii="宋体" w:hAnsi="宋体"/>
                      <w:bCs/>
                      <w:kern w:val="0"/>
                      <w:szCs w:val="21"/>
                    </w:rPr>
                    <w:t>天内采取补足、更换或退货等措施,以满足规格的要求，由此发生的一切损失和费用由参与投标的单位承担。</w:t>
                  </w:r>
                </w:p>
              </w:tc>
            </w:tr>
            <w:tr w14:paraId="657E73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158E1050">
                  <w:pPr>
                    <w:spacing w:line="360" w:lineRule="exact"/>
                    <w:jc w:val="center"/>
                    <w:rPr>
                      <w:rFonts w:ascii="宋体" w:hAnsi="宋体"/>
                      <w:bCs/>
                      <w:szCs w:val="21"/>
                    </w:rPr>
                  </w:pPr>
                </w:p>
              </w:tc>
              <w:tc>
                <w:tcPr>
                  <w:tcW w:w="663" w:type="pct"/>
                  <w:vMerge w:val="continue"/>
                  <w:tcBorders>
                    <w:tl2br w:val="nil"/>
                    <w:tr2bl w:val="nil"/>
                  </w:tcBorders>
                  <w:vAlign w:val="center"/>
                </w:tcPr>
                <w:p w14:paraId="7192E823">
                  <w:pPr>
                    <w:spacing w:line="360" w:lineRule="exact"/>
                    <w:rPr>
                      <w:rFonts w:ascii="宋体" w:hAnsi="宋体"/>
                      <w:bCs/>
                      <w:szCs w:val="21"/>
                    </w:rPr>
                  </w:pPr>
                </w:p>
              </w:tc>
              <w:tc>
                <w:tcPr>
                  <w:tcW w:w="3943" w:type="pct"/>
                  <w:tcBorders>
                    <w:tl2br w:val="nil"/>
                    <w:tr2bl w:val="nil"/>
                  </w:tcBorders>
                </w:tcPr>
                <w:p w14:paraId="2479AD43">
                  <w:pPr>
                    <w:spacing w:line="360" w:lineRule="exact"/>
                    <w:rPr>
                      <w:rFonts w:ascii="宋体" w:hAnsi="宋体"/>
                      <w:bCs/>
                      <w:szCs w:val="21"/>
                    </w:rPr>
                  </w:pPr>
                  <w:r>
                    <w:rPr>
                      <w:rFonts w:hint="eastAsia" w:ascii="宋体" w:hAnsi="宋体"/>
                      <w:bCs/>
                      <w:szCs w:val="21"/>
                    </w:rPr>
                    <w:t>4.</w:t>
                  </w:r>
                  <w:r>
                    <w:rPr>
                      <w:rFonts w:hint="eastAsia" w:ascii="宋体" w:hAnsi="宋体"/>
                      <w:spacing w:val="-3"/>
                      <w:szCs w:val="21"/>
                    </w:rPr>
                    <w:t>参与投标的单位负责货物的现场安装和调试,提供货物安装、调试和维修所需的专用工具和辅助材料。参与投标的单位应在货物运至指定地点后一周内开始安装调试,并在</w:t>
                  </w:r>
                  <w:r>
                    <w:rPr>
                      <w:rFonts w:hint="eastAsia" w:ascii="宋体" w:hAnsi="宋体"/>
                      <w:bCs/>
                      <w:kern w:val="0"/>
                      <w:szCs w:val="21"/>
                      <w:u w:val="single"/>
                    </w:rPr>
                    <w:t xml:space="preserve"> 7  </w:t>
                  </w:r>
                  <w:r>
                    <w:rPr>
                      <w:rFonts w:hint="eastAsia" w:ascii="宋体" w:hAnsi="宋体"/>
                      <w:spacing w:val="-3"/>
                      <w:szCs w:val="21"/>
                    </w:rPr>
                    <w:t>天内安装调试完毕。</w:t>
                  </w:r>
                </w:p>
              </w:tc>
            </w:tr>
            <w:tr w14:paraId="76A0E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7165979F">
                  <w:pPr>
                    <w:spacing w:line="360" w:lineRule="exact"/>
                    <w:jc w:val="center"/>
                    <w:rPr>
                      <w:rFonts w:ascii="宋体" w:hAnsi="宋体"/>
                      <w:bCs/>
                      <w:szCs w:val="21"/>
                    </w:rPr>
                  </w:pPr>
                </w:p>
              </w:tc>
              <w:tc>
                <w:tcPr>
                  <w:tcW w:w="663" w:type="pct"/>
                  <w:vMerge w:val="continue"/>
                  <w:tcBorders>
                    <w:tl2br w:val="nil"/>
                    <w:tr2bl w:val="nil"/>
                  </w:tcBorders>
                  <w:vAlign w:val="center"/>
                </w:tcPr>
                <w:p w14:paraId="25AB2B44">
                  <w:pPr>
                    <w:spacing w:line="360" w:lineRule="exact"/>
                    <w:rPr>
                      <w:rFonts w:ascii="宋体" w:hAnsi="宋体"/>
                      <w:bCs/>
                      <w:szCs w:val="21"/>
                    </w:rPr>
                  </w:pPr>
                </w:p>
              </w:tc>
              <w:tc>
                <w:tcPr>
                  <w:tcW w:w="3943" w:type="pct"/>
                  <w:tcBorders>
                    <w:tl2br w:val="nil"/>
                    <w:tr2bl w:val="nil"/>
                  </w:tcBorders>
                </w:tcPr>
                <w:p w14:paraId="40BEA30F">
                  <w:pPr>
                    <w:spacing w:line="360" w:lineRule="exact"/>
                    <w:rPr>
                      <w:rFonts w:ascii="宋体" w:hAnsi="宋体"/>
                      <w:bCs/>
                      <w:szCs w:val="21"/>
                    </w:rPr>
                  </w:pPr>
                  <w:r>
                    <w:rPr>
                      <w:rFonts w:hint="eastAsia" w:ascii="宋体" w:hAnsi="宋体"/>
                      <w:bCs/>
                      <w:szCs w:val="21"/>
                    </w:rPr>
                    <w:t>5.</w:t>
                  </w:r>
                  <w:r>
                    <w:rPr>
                      <w:rFonts w:hint="eastAsia" w:ascii="宋体" w:hAnsi="宋体"/>
                      <w:spacing w:val="-3"/>
                      <w:szCs w:val="21"/>
                    </w:rPr>
                    <w:t>由参与投标的单位代表和院方组成验收小组对产品进行验收。验收标准按照国家规定标准执行。经检验设备正常运作后签署验收报告,产品保修期自验收合格之日起算。</w:t>
                  </w:r>
                </w:p>
              </w:tc>
            </w:tr>
            <w:tr w14:paraId="10BDA8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l2br w:val="nil"/>
                    <w:tr2bl w:val="nil"/>
                  </w:tcBorders>
                  <w:vAlign w:val="center"/>
                </w:tcPr>
                <w:p w14:paraId="580017F9">
                  <w:pPr>
                    <w:spacing w:line="360" w:lineRule="exact"/>
                    <w:jc w:val="center"/>
                    <w:rPr>
                      <w:rFonts w:ascii="宋体" w:hAnsi="宋体"/>
                      <w:bCs/>
                      <w:szCs w:val="21"/>
                    </w:rPr>
                  </w:pPr>
                  <w:r>
                    <w:rPr>
                      <w:rFonts w:hint="eastAsia" w:ascii="宋体" w:hAnsi="宋体"/>
                      <w:bCs/>
                      <w:szCs w:val="21"/>
                    </w:rPr>
                    <w:t>3</w:t>
                  </w:r>
                </w:p>
              </w:tc>
              <w:tc>
                <w:tcPr>
                  <w:tcW w:w="663" w:type="pct"/>
                  <w:vMerge w:val="restart"/>
                  <w:tcBorders>
                    <w:tl2br w:val="nil"/>
                    <w:tr2bl w:val="nil"/>
                  </w:tcBorders>
                  <w:vAlign w:val="center"/>
                </w:tcPr>
                <w:p w14:paraId="1278C9D3">
                  <w:pPr>
                    <w:spacing w:line="360" w:lineRule="exact"/>
                    <w:jc w:val="center"/>
                    <w:rPr>
                      <w:rFonts w:ascii="宋体" w:hAnsi="宋体"/>
                      <w:bCs/>
                      <w:szCs w:val="21"/>
                    </w:rPr>
                  </w:pPr>
                  <w:r>
                    <w:rPr>
                      <w:rFonts w:hint="eastAsia" w:ascii="宋体" w:hAnsi="宋体"/>
                      <w:bCs/>
                      <w:szCs w:val="21"/>
                    </w:rPr>
                    <w:t>关于违约</w:t>
                  </w:r>
                </w:p>
              </w:tc>
              <w:tc>
                <w:tcPr>
                  <w:tcW w:w="3943" w:type="pct"/>
                  <w:tcBorders>
                    <w:tl2br w:val="nil"/>
                    <w:tr2bl w:val="nil"/>
                  </w:tcBorders>
                </w:tcPr>
                <w:p w14:paraId="733F22F3">
                  <w:pPr>
                    <w:spacing w:line="360" w:lineRule="exact"/>
                    <w:rPr>
                      <w:rFonts w:ascii="宋体" w:hAnsi="宋体"/>
                      <w:spacing w:val="-3"/>
                      <w:szCs w:val="21"/>
                    </w:rPr>
                  </w:pPr>
                  <w:r>
                    <w:rPr>
                      <w:rFonts w:hint="eastAsia" w:ascii="宋体" w:hAnsi="宋体"/>
                      <w:spacing w:val="-3"/>
                      <w:szCs w:val="21"/>
                    </w:rPr>
                    <w:t>3.1</w:t>
                  </w:r>
                  <w:r>
                    <w:rPr>
                      <w:rFonts w:hint="eastAsia" w:ascii="宋体" w:hAnsi="宋体"/>
                      <w:bCs/>
                      <w:szCs w:val="21"/>
                    </w:rPr>
                    <w:t>.</w:t>
                  </w:r>
                  <w:r>
                    <w:rPr>
                      <w:rFonts w:hint="eastAsia" w:ascii="宋体" w:hAnsi="宋体"/>
                      <w:spacing w:val="-3"/>
                      <w:szCs w:val="21"/>
                    </w:rPr>
                    <w:t>参与投标的单位不能交货的，需偿付不能交货部分货款的5%的违约金并按主管部门相关规定处理。</w:t>
                  </w:r>
                </w:p>
              </w:tc>
            </w:tr>
            <w:tr w14:paraId="05E77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39B43E16">
                  <w:pPr>
                    <w:spacing w:line="360" w:lineRule="exact"/>
                    <w:jc w:val="center"/>
                    <w:rPr>
                      <w:rFonts w:ascii="宋体" w:hAnsi="宋体"/>
                      <w:b/>
                      <w:szCs w:val="21"/>
                    </w:rPr>
                  </w:pPr>
                </w:p>
              </w:tc>
              <w:tc>
                <w:tcPr>
                  <w:tcW w:w="663" w:type="pct"/>
                  <w:vMerge w:val="continue"/>
                  <w:tcBorders>
                    <w:tl2br w:val="nil"/>
                    <w:tr2bl w:val="nil"/>
                  </w:tcBorders>
                  <w:vAlign w:val="center"/>
                </w:tcPr>
                <w:p w14:paraId="2C99BF45">
                  <w:pPr>
                    <w:spacing w:line="360" w:lineRule="exact"/>
                    <w:jc w:val="center"/>
                    <w:rPr>
                      <w:rFonts w:ascii="宋体" w:hAnsi="宋体"/>
                      <w:szCs w:val="21"/>
                    </w:rPr>
                  </w:pPr>
                </w:p>
              </w:tc>
              <w:tc>
                <w:tcPr>
                  <w:tcW w:w="3943" w:type="pct"/>
                  <w:tcBorders>
                    <w:tl2br w:val="nil"/>
                    <w:tr2bl w:val="nil"/>
                  </w:tcBorders>
                </w:tcPr>
                <w:p w14:paraId="4D879A94">
                  <w:pPr>
                    <w:spacing w:line="360" w:lineRule="exact"/>
                    <w:rPr>
                      <w:rFonts w:ascii="宋体" w:hAnsi="宋体"/>
                      <w:spacing w:val="-3"/>
                      <w:szCs w:val="21"/>
                    </w:rPr>
                  </w:pPr>
                  <w:r>
                    <w:rPr>
                      <w:rFonts w:hint="eastAsia" w:ascii="宋体" w:hAnsi="宋体"/>
                      <w:spacing w:val="-3"/>
                      <w:szCs w:val="21"/>
                    </w:rPr>
                    <w:t>3.2</w:t>
                  </w:r>
                  <w:r>
                    <w:rPr>
                      <w:rFonts w:hint="eastAsia" w:ascii="宋体" w:hAnsi="宋体"/>
                      <w:bCs/>
                      <w:szCs w:val="21"/>
                    </w:rPr>
                    <w:t>.</w:t>
                  </w:r>
                  <w:r>
                    <w:rPr>
                      <w:rFonts w:hint="eastAsia" w:ascii="宋体" w:hAnsi="宋体"/>
                      <w:spacing w:val="-3"/>
                      <w:szCs w:val="21"/>
                    </w:rPr>
                    <w:t>参与投标的单位逾期交货的，将按主管部门相关规定处理。</w:t>
                  </w:r>
                </w:p>
              </w:tc>
            </w:tr>
            <w:tr w14:paraId="02E5C3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108BD9B7">
                  <w:pPr>
                    <w:spacing w:line="360" w:lineRule="exact"/>
                    <w:jc w:val="center"/>
                    <w:rPr>
                      <w:rFonts w:ascii="宋体" w:hAnsi="宋体"/>
                      <w:b/>
                      <w:szCs w:val="21"/>
                    </w:rPr>
                  </w:pPr>
                </w:p>
              </w:tc>
              <w:tc>
                <w:tcPr>
                  <w:tcW w:w="663" w:type="pct"/>
                  <w:vMerge w:val="continue"/>
                  <w:tcBorders>
                    <w:tl2br w:val="nil"/>
                    <w:tr2bl w:val="nil"/>
                  </w:tcBorders>
                  <w:vAlign w:val="center"/>
                </w:tcPr>
                <w:p w14:paraId="40F9D17E">
                  <w:pPr>
                    <w:spacing w:line="360" w:lineRule="exact"/>
                    <w:jc w:val="center"/>
                    <w:rPr>
                      <w:rFonts w:ascii="宋体" w:hAnsi="宋体"/>
                      <w:szCs w:val="21"/>
                    </w:rPr>
                  </w:pPr>
                </w:p>
              </w:tc>
              <w:tc>
                <w:tcPr>
                  <w:tcW w:w="3943" w:type="pct"/>
                  <w:tcBorders>
                    <w:tl2br w:val="nil"/>
                    <w:tr2bl w:val="nil"/>
                  </w:tcBorders>
                </w:tcPr>
                <w:p w14:paraId="2C4F727B">
                  <w:pPr>
                    <w:spacing w:line="360" w:lineRule="exact"/>
                    <w:rPr>
                      <w:rFonts w:ascii="宋体" w:hAnsi="宋体"/>
                      <w:spacing w:val="-3"/>
                      <w:szCs w:val="21"/>
                    </w:rPr>
                  </w:pPr>
                  <w:r>
                    <w:rPr>
                      <w:rFonts w:hint="eastAsia" w:ascii="宋体" w:hAnsi="宋体"/>
                      <w:spacing w:val="-3"/>
                      <w:szCs w:val="21"/>
                    </w:rPr>
                    <w:t>3.3参与投标的单位所交设备的品种、型号、规格、质量、功能、技术参数等方面不能实质性满足招标文件要约的，院方有权拒绝收货，参与投标的单位向院方偿付项目采购金额10%的违约金；造成严重后果的，根据《深圳经济特区政府采购条例》第五十七条第（二）款规定，由主管部门对中标人进行处罚。</w:t>
                  </w:r>
                </w:p>
              </w:tc>
            </w:tr>
            <w:tr w14:paraId="7F8649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l2br w:val="nil"/>
                    <w:tr2bl w:val="nil"/>
                  </w:tcBorders>
                  <w:vAlign w:val="center"/>
                </w:tcPr>
                <w:p w14:paraId="56BEB098">
                  <w:pPr>
                    <w:spacing w:line="360" w:lineRule="exact"/>
                    <w:jc w:val="center"/>
                    <w:rPr>
                      <w:rFonts w:ascii="宋体" w:hAnsi="宋体"/>
                      <w:szCs w:val="21"/>
                    </w:rPr>
                  </w:pPr>
                  <w:r>
                    <w:rPr>
                      <w:rFonts w:hint="eastAsia" w:ascii="宋体" w:hAnsi="宋体"/>
                      <w:szCs w:val="21"/>
                    </w:rPr>
                    <w:t>4</w:t>
                  </w:r>
                </w:p>
              </w:tc>
              <w:tc>
                <w:tcPr>
                  <w:tcW w:w="663" w:type="pct"/>
                  <w:tcBorders>
                    <w:tl2br w:val="nil"/>
                    <w:tr2bl w:val="nil"/>
                  </w:tcBorders>
                  <w:vAlign w:val="center"/>
                </w:tcPr>
                <w:p w14:paraId="5DAD3DFC">
                  <w:pPr>
                    <w:spacing w:line="360" w:lineRule="exact"/>
                    <w:jc w:val="center"/>
                    <w:rPr>
                      <w:rFonts w:ascii="宋体" w:hAnsi="宋体"/>
                      <w:szCs w:val="21"/>
                    </w:rPr>
                  </w:pPr>
                  <w:r>
                    <w:rPr>
                      <w:rFonts w:hint="eastAsia" w:ascii="宋体" w:hAnsi="宋体"/>
                      <w:szCs w:val="21"/>
                    </w:rPr>
                    <w:t>★关于付款</w:t>
                  </w:r>
                </w:p>
              </w:tc>
              <w:tc>
                <w:tcPr>
                  <w:tcW w:w="3943" w:type="pct"/>
                  <w:tcBorders>
                    <w:tl2br w:val="nil"/>
                    <w:tr2bl w:val="nil"/>
                  </w:tcBorders>
                </w:tcPr>
                <w:p w14:paraId="0FDDDF45">
                  <w:pPr>
                    <w:spacing w:line="360" w:lineRule="exact"/>
                    <w:rPr>
                      <w:rFonts w:ascii="宋体" w:hAnsi="宋体"/>
                      <w:b/>
                      <w:szCs w:val="21"/>
                    </w:rPr>
                  </w:pPr>
                  <w:r>
                    <w:rPr>
                      <w:rFonts w:hint="eastAsia" w:ascii="宋体" w:hAnsi="宋体"/>
                      <w:kern w:val="0"/>
                      <w:szCs w:val="21"/>
                    </w:rPr>
                    <w:t>4.1合同设备全部到指定地点交付并完成安装及验收合格后，凭收货证明、正式全额发票、验收合格证明、支付凭证（需要提供时）等，货款由院方审核后向</w:t>
                  </w:r>
                  <w:r>
                    <w:rPr>
                      <w:rFonts w:hint="eastAsia" w:ascii="宋体" w:hAnsi="宋体"/>
                      <w:spacing w:val="-3"/>
                      <w:szCs w:val="21"/>
                    </w:rPr>
                    <w:t>参与投标的单位</w:t>
                  </w:r>
                  <w:r>
                    <w:rPr>
                      <w:rFonts w:hint="eastAsia" w:ascii="宋体" w:hAnsi="宋体"/>
                      <w:kern w:val="0"/>
                      <w:szCs w:val="21"/>
                    </w:rPr>
                    <w:t>支付合同总金额。</w:t>
                  </w:r>
                </w:p>
              </w:tc>
            </w:tr>
            <w:tr w14:paraId="05FF66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l2br w:val="nil"/>
                    <w:tr2bl w:val="nil"/>
                  </w:tcBorders>
                  <w:vAlign w:val="center"/>
                </w:tcPr>
                <w:p w14:paraId="05BBF82E">
                  <w:pPr>
                    <w:spacing w:line="360" w:lineRule="exact"/>
                    <w:jc w:val="center"/>
                    <w:rPr>
                      <w:rFonts w:ascii="宋体" w:hAnsi="宋体"/>
                      <w:szCs w:val="21"/>
                    </w:rPr>
                  </w:pPr>
                  <w:r>
                    <w:rPr>
                      <w:rFonts w:hint="eastAsia" w:ascii="宋体" w:hAnsi="宋体"/>
                      <w:szCs w:val="21"/>
                    </w:rPr>
                    <w:t>5</w:t>
                  </w:r>
                </w:p>
              </w:tc>
              <w:tc>
                <w:tcPr>
                  <w:tcW w:w="663" w:type="pct"/>
                  <w:tcBorders>
                    <w:tl2br w:val="nil"/>
                    <w:tr2bl w:val="nil"/>
                  </w:tcBorders>
                  <w:vAlign w:val="center"/>
                </w:tcPr>
                <w:p w14:paraId="0C5E509A">
                  <w:pPr>
                    <w:spacing w:line="360" w:lineRule="exact"/>
                    <w:jc w:val="center"/>
                    <w:rPr>
                      <w:rFonts w:ascii="宋体" w:hAnsi="宋体"/>
                      <w:szCs w:val="21"/>
                    </w:rPr>
                  </w:pPr>
                  <w:r>
                    <w:rPr>
                      <w:rFonts w:hint="eastAsia" w:ascii="宋体" w:hAnsi="宋体"/>
                      <w:szCs w:val="21"/>
                    </w:rPr>
                    <w:t>项目（产品）要求</w:t>
                  </w:r>
                </w:p>
              </w:tc>
              <w:tc>
                <w:tcPr>
                  <w:tcW w:w="3943" w:type="pct"/>
                  <w:tcBorders>
                    <w:tl2br w:val="nil"/>
                    <w:tr2bl w:val="nil"/>
                  </w:tcBorders>
                </w:tcPr>
                <w:p w14:paraId="2699EB39">
                  <w:pPr>
                    <w:spacing w:line="360" w:lineRule="exact"/>
                    <w:rPr>
                      <w:rFonts w:ascii="宋体" w:hAnsi="宋体"/>
                      <w:color w:val="000000" w:themeColor="text1"/>
                      <w:szCs w:val="21"/>
                      <w:highlight w:val="yellow"/>
                      <w14:textFill>
                        <w14:solidFill>
                          <w14:schemeClr w14:val="tx1"/>
                        </w14:solidFill>
                      </w14:textFill>
                    </w:rPr>
                  </w:pPr>
                  <w:r>
                    <w:rPr>
                      <w:rFonts w:hint="eastAsia" w:ascii="宋体" w:hAnsi="宋体"/>
                      <w:bCs/>
                      <w:color w:val="000000" w:themeColor="text1"/>
                      <w:szCs w:val="21"/>
                      <w14:textFill>
                        <w14:solidFill>
                          <w14:schemeClr w14:val="tx1"/>
                        </w14:solidFill>
                      </w14:textFill>
                    </w:rPr>
                    <w:t>★5.1若</w:t>
                  </w:r>
                  <w:r>
                    <w:rPr>
                      <w:rFonts w:hint="eastAsia" w:ascii="宋体" w:hAnsi="宋体"/>
                      <w:color w:val="000000" w:themeColor="text1"/>
                      <w:spacing w:val="-3"/>
                      <w:szCs w:val="21"/>
                      <w14:textFill>
                        <w14:solidFill>
                          <w14:schemeClr w14:val="tx1"/>
                        </w14:solidFill>
                      </w14:textFill>
                    </w:rPr>
                    <w:t>参与投标的单位提供的</w:t>
                  </w:r>
                  <w:r>
                    <w:rPr>
                      <w:rFonts w:hint="eastAsia" w:ascii="宋体" w:hAnsi="宋体"/>
                      <w:bCs/>
                      <w:color w:val="000000" w:themeColor="text1"/>
                      <w:szCs w:val="21"/>
                      <w14:textFill>
                        <w14:solidFill>
                          <w14:schemeClr w14:val="tx1"/>
                        </w14:solidFill>
                      </w14:textFill>
                    </w:rPr>
                    <w:t>产品为进口，则参与投标的单位必须提供由设备制造商或授权的中国总代理签署的合法有效的保修、维修承诺函（免费保修期满足招标文件要求）扫描件，原件备查，同时</w:t>
                  </w:r>
                  <w:r>
                    <w:rPr>
                      <w:rFonts w:hint="eastAsia" w:ascii="宋体" w:hAnsi="宋体"/>
                      <w:color w:val="000000" w:themeColor="text1"/>
                      <w:spacing w:val="-3"/>
                      <w:szCs w:val="21"/>
                      <w14:textFill>
                        <w14:solidFill>
                          <w14:schemeClr w14:val="tx1"/>
                        </w14:solidFill>
                      </w14:textFill>
                    </w:rPr>
                    <w:t>必须具有</w:t>
                  </w:r>
                  <w:r>
                    <w:rPr>
                      <w:rFonts w:hint="eastAsia" w:ascii="宋体" w:hAnsi="宋体"/>
                      <w:color w:val="000000" w:themeColor="text1"/>
                      <w:kern w:val="0"/>
                      <w:szCs w:val="21"/>
                      <w14:textFill>
                        <w14:solidFill>
                          <w14:schemeClr w14:val="tx1"/>
                        </w14:solidFill>
                      </w14:textFill>
                    </w:rPr>
                    <w:t>报关证明</w:t>
                  </w:r>
                  <w:r>
                    <w:rPr>
                      <w:rFonts w:hint="eastAsia" w:ascii="宋体" w:hAnsi="宋体"/>
                      <w:color w:val="000000" w:themeColor="text1"/>
                      <w:spacing w:val="-3"/>
                      <w:szCs w:val="21"/>
                      <w14:textFill>
                        <w14:solidFill>
                          <w14:schemeClr w14:val="tx1"/>
                        </w14:solidFill>
                      </w14:textFill>
                    </w:rPr>
                    <w:t>文件、</w:t>
                  </w:r>
                  <w:r>
                    <w:rPr>
                      <w:rFonts w:hint="eastAsia" w:ascii="宋体" w:hAnsi="宋体"/>
                      <w:color w:val="000000" w:themeColor="text1"/>
                      <w:kern w:val="0"/>
                      <w:szCs w:val="21"/>
                      <w14:textFill>
                        <w14:solidFill>
                          <w14:schemeClr w14:val="tx1"/>
                        </w14:solidFill>
                      </w14:textFill>
                    </w:rPr>
                    <w:t>原产地证明和</w:t>
                  </w:r>
                  <w:r>
                    <w:rPr>
                      <w:rFonts w:hint="eastAsia" w:ascii="宋体" w:hAnsi="宋体"/>
                      <w:color w:val="000000" w:themeColor="text1"/>
                      <w:spacing w:val="-3"/>
                      <w:szCs w:val="21"/>
                      <w14:textFill>
                        <w14:solidFill>
                          <w14:schemeClr w14:val="tx1"/>
                        </w14:solidFill>
                      </w14:textFill>
                    </w:rPr>
                    <w:t>商检合格证明文件</w:t>
                  </w:r>
                  <w:r>
                    <w:rPr>
                      <w:rFonts w:hint="eastAsia" w:ascii="宋体" w:hAnsi="宋体"/>
                      <w:bCs/>
                      <w:color w:val="000000" w:themeColor="text1"/>
                      <w:szCs w:val="21"/>
                      <w14:textFill>
                        <w14:solidFill>
                          <w14:schemeClr w14:val="tx1"/>
                        </w14:solidFill>
                      </w14:textFill>
                    </w:rPr>
                    <w:t>。若所投产品为国产产品，则无需提供。</w:t>
                  </w:r>
                </w:p>
              </w:tc>
            </w:tr>
            <w:tr w14:paraId="6073FF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l2br w:val="nil"/>
                    <w:tr2bl w:val="nil"/>
                  </w:tcBorders>
                  <w:vAlign w:val="center"/>
                </w:tcPr>
                <w:p w14:paraId="63100A44">
                  <w:pPr>
                    <w:spacing w:line="360" w:lineRule="exact"/>
                    <w:jc w:val="center"/>
                    <w:rPr>
                      <w:rFonts w:ascii="宋体" w:hAnsi="宋体"/>
                      <w:szCs w:val="21"/>
                    </w:rPr>
                  </w:pPr>
                  <w:r>
                    <w:rPr>
                      <w:rFonts w:hint="eastAsia" w:ascii="宋体" w:hAnsi="宋体"/>
                      <w:szCs w:val="21"/>
                    </w:rPr>
                    <w:t>6</w:t>
                  </w:r>
                </w:p>
              </w:tc>
              <w:tc>
                <w:tcPr>
                  <w:tcW w:w="663" w:type="pct"/>
                  <w:tcBorders>
                    <w:tl2br w:val="nil"/>
                    <w:tr2bl w:val="nil"/>
                  </w:tcBorders>
                  <w:vAlign w:val="center"/>
                </w:tcPr>
                <w:p w14:paraId="35D45EC6">
                  <w:pPr>
                    <w:spacing w:line="360" w:lineRule="exact"/>
                    <w:jc w:val="center"/>
                    <w:rPr>
                      <w:rFonts w:ascii="宋体" w:hAnsi="宋体"/>
                      <w:szCs w:val="21"/>
                    </w:rPr>
                  </w:pPr>
                  <w:r>
                    <w:rPr>
                      <w:rFonts w:hint="eastAsia" w:ascii="宋体" w:hAnsi="宋体"/>
                      <w:kern w:val="0"/>
                      <w:szCs w:val="21"/>
                    </w:rPr>
                    <w:t>培训</w:t>
                  </w:r>
                </w:p>
              </w:tc>
              <w:tc>
                <w:tcPr>
                  <w:tcW w:w="3943" w:type="pct"/>
                  <w:tcBorders>
                    <w:tl2br w:val="nil"/>
                    <w:tr2bl w:val="nil"/>
                  </w:tcBorders>
                </w:tcPr>
                <w:p w14:paraId="7D4D56F5">
                  <w:pPr>
                    <w:spacing w:line="360" w:lineRule="exact"/>
                    <w:rPr>
                      <w:rFonts w:ascii="宋体" w:hAnsi="宋体"/>
                      <w:b/>
                      <w:color w:val="000000" w:themeColor="text1"/>
                      <w:szCs w:val="21"/>
                      <w14:textFill>
                        <w14:solidFill>
                          <w14:schemeClr w14:val="tx1"/>
                        </w14:solidFill>
                      </w14:textFill>
                    </w:rPr>
                  </w:pPr>
                  <w:r>
                    <w:rPr>
                      <w:rFonts w:hint="eastAsia" w:ascii="宋体" w:hAnsi="宋体"/>
                      <w:bCs/>
                      <w:color w:val="000000" w:themeColor="text1"/>
                      <w:kern w:val="0"/>
                      <w:szCs w:val="21"/>
                      <w14:textFill>
                        <w14:solidFill>
                          <w14:schemeClr w14:val="tx1"/>
                        </w14:solidFill>
                      </w14:textFill>
                    </w:rPr>
                    <w:t>6.1</w:t>
                  </w:r>
                  <w:r>
                    <w:rPr>
                      <w:rFonts w:hint="eastAsia" w:ascii="宋体" w:hAnsi="宋体"/>
                      <w:color w:val="000000" w:themeColor="text1"/>
                      <w:spacing w:val="-3"/>
                      <w:szCs w:val="21"/>
                      <w14:textFill>
                        <w14:solidFill>
                          <w14:schemeClr w14:val="tx1"/>
                        </w14:solidFill>
                      </w14:textFill>
                    </w:rPr>
                    <w:t>参与投标的单位</w:t>
                  </w:r>
                  <w:r>
                    <w:rPr>
                      <w:rFonts w:hint="eastAsia" w:ascii="宋体" w:hAnsi="宋体"/>
                      <w:bCs/>
                      <w:color w:val="000000" w:themeColor="text1"/>
                      <w:kern w:val="0"/>
                      <w:szCs w:val="21"/>
                      <w14:textFill>
                        <w14:solidFill>
                          <w14:schemeClr w14:val="tx1"/>
                        </w14:solidFill>
                      </w14:textFill>
                    </w:rPr>
                    <w:t>应派专业技术人员免费对院方指定人员进行定期培训及指导，直至其完全掌握设备的基本故障处理技术。</w:t>
                  </w:r>
                </w:p>
              </w:tc>
            </w:tr>
            <w:tr w14:paraId="201E1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l2br w:val="nil"/>
                    <w:tr2bl w:val="nil"/>
                  </w:tcBorders>
                  <w:vAlign w:val="center"/>
                </w:tcPr>
                <w:p w14:paraId="307C4AA4">
                  <w:pPr>
                    <w:spacing w:line="360" w:lineRule="exact"/>
                    <w:jc w:val="center"/>
                    <w:rPr>
                      <w:rFonts w:ascii="宋体" w:hAnsi="宋体"/>
                      <w:szCs w:val="21"/>
                    </w:rPr>
                  </w:pPr>
                  <w:r>
                    <w:rPr>
                      <w:rFonts w:hint="eastAsia" w:ascii="宋体" w:hAnsi="宋体"/>
                      <w:szCs w:val="21"/>
                    </w:rPr>
                    <w:t>7</w:t>
                  </w:r>
                </w:p>
              </w:tc>
              <w:tc>
                <w:tcPr>
                  <w:tcW w:w="663" w:type="pct"/>
                  <w:vMerge w:val="restart"/>
                  <w:tcBorders>
                    <w:tl2br w:val="nil"/>
                    <w:tr2bl w:val="nil"/>
                  </w:tcBorders>
                  <w:vAlign w:val="center"/>
                </w:tcPr>
                <w:p w14:paraId="2EFE365B">
                  <w:pPr>
                    <w:spacing w:line="360" w:lineRule="exact"/>
                    <w:jc w:val="center"/>
                    <w:rPr>
                      <w:rFonts w:ascii="宋体" w:hAnsi="宋体"/>
                      <w:kern w:val="0"/>
                      <w:szCs w:val="21"/>
                    </w:rPr>
                  </w:pPr>
                  <w:r>
                    <w:rPr>
                      <w:rFonts w:hint="eastAsia" w:ascii="宋体" w:hAnsi="宋体"/>
                      <w:kern w:val="0"/>
                      <w:szCs w:val="21"/>
                    </w:rPr>
                    <w:t>知识产权</w:t>
                  </w:r>
                </w:p>
              </w:tc>
              <w:tc>
                <w:tcPr>
                  <w:tcW w:w="3943" w:type="pct"/>
                  <w:tcBorders>
                    <w:tl2br w:val="nil"/>
                    <w:tr2bl w:val="nil"/>
                  </w:tcBorders>
                </w:tcPr>
                <w:p w14:paraId="519BC7B4">
                  <w:pPr>
                    <w:spacing w:line="360" w:lineRule="exact"/>
                    <w:rPr>
                      <w:rFonts w:ascii="宋体" w:hAnsi="宋体"/>
                      <w:bCs/>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7.1参与投标的单位应保证院方在使用该货物或其任何一部分时，免受第三方提出的侵犯其专利权、商标权、著作权或其它知识产权的起诉。参与投标的单位保证所提供软件的合法性，所发生的任何知识产权纠纷与院方无关。</w:t>
                  </w:r>
                  <w:r>
                    <w:rPr>
                      <w:rFonts w:hint="eastAsia" w:ascii="宋体" w:hAnsi="宋体"/>
                      <w:color w:val="000000" w:themeColor="text1"/>
                      <w:szCs w:val="21"/>
                      <w14:textFill>
                        <w14:solidFill>
                          <w14:schemeClr w14:val="tx1"/>
                        </w14:solidFill>
                      </w14:textFill>
                    </w:rPr>
                    <w:t>若因为知识产权纠纷造成的一切损害赔偿及损失由参与投标的单位承担，包括但不限于实际损失、预期损失和对方要求赔偿损失及支出的律师费、交通费和差旅费等。</w:t>
                  </w:r>
                </w:p>
              </w:tc>
            </w:tr>
            <w:tr w14:paraId="51278F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l2br w:val="nil"/>
                    <w:tr2bl w:val="nil"/>
                  </w:tcBorders>
                  <w:vAlign w:val="center"/>
                </w:tcPr>
                <w:p w14:paraId="796D9E57">
                  <w:pPr>
                    <w:spacing w:line="360" w:lineRule="exact"/>
                    <w:jc w:val="center"/>
                    <w:rPr>
                      <w:rFonts w:ascii="宋体" w:hAnsi="宋体"/>
                      <w:szCs w:val="21"/>
                    </w:rPr>
                  </w:pPr>
                </w:p>
              </w:tc>
              <w:tc>
                <w:tcPr>
                  <w:tcW w:w="663" w:type="pct"/>
                  <w:vMerge w:val="continue"/>
                  <w:tcBorders>
                    <w:tl2br w:val="nil"/>
                    <w:tr2bl w:val="nil"/>
                  </w:tcBorders>
                  <w:vAlign w:val="center"/>
                </w:tcPr>
                <w:p w14:paraId="488199AF">
                  <w:pPr>
                    <w:spacing w:line="360" w:lineRule="exact"/>
                    <w:jc w:val="center"/>
                    <w:rPr>
                      <w:rFonts w:ascii="宋体" w:hAnsi="宋体"/>
                      <w:kern w:val="0"/>
                      <w:szCs w:val="21"/>
                    </w:rPr>
                  </w:pPr>
                </w:p>
              </w:tc>
              <w:tc>
                <w:tcPr>
                  <w:tcW w:w="3943" w:type="pct"/>
                  <w:tcBorders>
                    <w:tl2br w:val="nil"/>
                    <w:tr2bl w:val="nil"/>
                  </w:tcBorders>
                </w:tcPr>
                <w:p w14:paraId="29A5C67F">
                  <w:pPr>
                    <w:spacing w:line="360" w:lineRule="exact"/>
                    <w:rPr>
                      <w:rFonts w:ascii="宋体" w:hAnsi="宋体"/>
                      <w:bCs/>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7.2院方购买产品后，有权对该产品与其他设备进行配套、整合或适当改进，而免受侵犯专利权的起诉。</w:t>
                  </w:r>
                </w:p>
              </w:tc>
            </w:tr>
            <w:tr w14:paraId="709F0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l2br w:val="nil"/>
                    <w:tr2bl w:val="nil"/>
                  </w:tcBorders>
                  <w:vAlign w:val="center"/>
                </w:tcPr>
                <w:p w14:paraId="5F2E3054">
                  <w:pPr>
                    <w:spacing w:line="360" w:lineRule="exact"/>
                    <w:jc w:val="center"/>
                    <w:rPr>
                      <w:rFonts w:ascii="宋体" w:hAnsi="宋体"/>
                      <w:szCs w:val="21"/>
                    </w:rPr>
                  </w:pPr>
                  <w:r>
                    <w:rPr>
                      <w:rFonts w:hint="eastAsia" w:ascii="宋体" w:hAnsi="宋体"/>
                      <w:szCs w:val="21"/>
                    </w:rPr>
                    <w:t>8</w:t>
                  </w:r>
                </w:p>
              </w:tc>
              <w:tc>
                <w:tcPr>
                  <w:tcW w:w="663" w:type="pct"/>
                  <w:tcBorders>
                    <w:tl2br w:val="nil"/>
                    <w:tr2bl w:val="nil"/>
                  </w:tcBorders>
                  <w:vAlign w:val="center"/>
                </w:tcPr>
                <w:p w14:paraId="4D5CA903">
                  <w:pPr>
                    <w:spacing w:line="360" w:lineRule="exact"/>
                    <w:jc w:val="center"/>
                    <w:rPr>
                      <w:rFonts w:ascii="宋体" w:hAnsi="宋体"/>
                      <w:kern w:val="0"/>
                      <w:szCs w:val="21"/>
                    </w:rPr>
                  </w:pPr>
                  <w:r>
                    <w:rPr>
                      <w:rFonts w:hint="eastAsia" w:ascii="宋体" w:hAnsi="宋体"/>
                      <w:kern w:val="0"/>
                      <w:szCs w:val="21"/>
                    </w:rPr>
                    <w:t>其他</w:t>
                  </w:r>
                </w:p>
              </w:tc>
              <w:tc>
                <w:tcPr>
                  <w:tcW w:w="3943" w:type="pct"/>
                  <w:tcBorders>
                    <w:tl2br w:val="nil"/>
                    <w:tr2bl w:val="nil"/>
                  </w:tcBorders>
                  <w:vAlign w:val="center"/>
                </w:tcPr>
                <w:p w14:paraId="11D27C4D">
                  <w:pPr>
                    <w:spacing w:line="360" w:lineRule="exact"/>
                    <w:rPr>
                      <w:rFonts w:ascii="宋体" w:hAnsi="宋体"/>
                      <w:color w:val="000000" w:themeColor="text1"/>
                      <w:kern w:val="0"/>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参与投标的单位按其投标文件中的承诺，进行其他售后服务，提供承诺函，格式自拟；</w:t>
                  </w:r>
                </w:p>
              </w:tc>
            </w:tr>
            <w:tr w14:paraId="1B260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l2br w:val="nil"/>
                    <w:tr2bl w:val="nil"/>
                  </w:tcBorders>
                  <w:vAlign w:val="center"/>
                </w:tcPr>
                <w:p w14:paraId="58CFB305">
                  <w:pPr>
                    <w:spacing w:line="360" w:lineRule="exact"/>
                    <w:jc w:val="center"/>
                    <w:rPr>
                      <w:rFonts w:ascii="宋体" w:hAnsi="宋体"/>
                      <w:szCs w:val="21"/>
                    </w:rPr>
                  </w:pPr>
                  <w:r>
                    <w:rPr>
                      <w:rFonts w:hint="eastAsia" w:ascii="宋体" w:hAnsi="宋体"/>
                      <w:szCs w:val="21"/>
                    </w:rPr>
                    <w:t>9</w:t>
                  </w:r>
                </w:p>
              </w:tc>
              <w:tc>
                <w:tcPr>
                  <w:tcW w:w="663" w:type="pct"/>
                  <w:tcBorders>
                    <w:tl2br w:val="nil"/>
                    <w:tr2bl w:val="nil"/>
                  </w:tcBorders>
                  <w:vAlign w:val="center"/>
                </w:tcPr>
                <w:p w14:paraId="052C57C2">
                  <w:pPr>
                    <w:spacing w:line="360" w:lineRule="exact"/>
                    <w:jc w:val="center"/>
                    <w:rPr>
                      <w:rFonts w:ascii="宋体" w:hAnsi="宋体"/>
                      <w:kern w:val="0"/>
                      <w:szCs w:val="21"/>
                    </w:rPr>
                  </w:pPr>
                  <w:r>
                    <w:rPr>
                      <w:rFonts w:hint="eastAsia" w:ascii="宋体" w:hAnsi="宋体"/>
                      <w:kern w:val="0"/>
                      <w:szCs w:val="21"/>
                    </w:rPr>
                    <w:t>合同响应</w:t>
                  </w:r>
                </w:p>
              </w:tc>
              <w:tc>
                <w:tcPr>
                  <w:tcW w:w="3943" w:type="pct"/>
                  <w:tcBorders>
                    <w:tl2br w:val="nil"/>
                    <w:tr2bl w:val="nil"/>
                  </w:tcBorders>
                  <w:vAlign w:val="center"/>
                </w:tcPr>
                <w:p w14:paraId="2B027862">
                  <w:pPr>
                    <w:spacing w:line="360" w:lineRule="exac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★9.1 参与投标的单位应承诺，若中标将按院方合同条款及格式签订合同（提供承诺函，格式自拟）。</w:t>
                  </w:r>
                </w:p>
              </w:tc>
            </w:tr>
          </w:tbl>
          <w:p w14:paraId="1CA78836">
            <w:pPr>
              <w:rPr>
                <w:b/>
              </w:rPr>
            </w:pPr>
          </w:p>
        </w:tc>
      </w:tr>
      <w:tr w14:paraId="5B6554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112" w:hRule="atLeast"/>
          <w:tblCellSpacing w:w="0" w:type="dxa"/>
          <w:jc w:val="center"/>
        </w:trPr>
        <w:tc>
          <w:tcPr>
            <w:tcW w:w="663" w:type="dxa"/>
            <w:vAlign w:val="center"/>
          </w:tcPr>
          <w:p w14:paraId="19A8D91D">
            <w:pPr>
              <w:widowControl/>
              <w:spacing w:before="100" w:beforeAutospacing="1" w:after="100" w:afterAutospacing="1"/>
              <w:jc w:val="left"/>
              <w:rPr>
                <w:rFonts w:hint="default" w:ascii="宋体" w:hAnsi="宋体" w:eastAsia="宋体"/>
                <w:b/>
                <w:bCs/>
                <w:kern w:val="0"/>
                <w:sz w:val="20"/>
                <w:szCs w:val="20"/>
                <w:lang w:val="en-US" w:eastAsia="zh-CN"/>
              </w:rPr>
            </w:pPr>
            <w:r>
              <w:rPr>
                <w:rFonts w:hint="eastAsia" w:asciiTheme="minorEastAsia" w:hAnsiTheme="minorEastAsia"/>
                <w:b/>
                <w:color w:val="FF0000"/>
                <w:lang w:val="en-US" w:eastAsia="zh-CN"/>
              </w:rPr>
              <w:t>注意事项</w:t>
            </w:r>
          </w:p>
        </w:tc>
        <w:tc>
          <w:tcPr>
            <w:tcW w:w="9965" w:type="dxa"/>
            <w:gridSpan w:val="3"/>
            <w:vAlign w:val="center"/>
          </w:tcPr>
          <w:p w14:paraId="1CD02FA2">
            <w:pPr>
              <w:rPr>
                <w:b/>
              </w:rPr>
            </w:pPr>
            <w:r>
              <w:rPr>
                <w:rFonts w:hint="eastAsia" w:asciiTheme="minorEastAsia" w:hAnsiTheme="minorEastAsia"/>
                <w:b/>
                <w:color w:val="FF0000"/>
              </w:rPr>
              <w:t>需求中打★号的为必须满足项，报价方需在报价文件中做出承诺满足该要求，若报价方中标后无法执行，采购方有权撤销报价方的中标资质，撤销已签订的合同，并追究报价方的法律责任。</w:t>
            </w:r>
          </w:p>
        </w:tc>
      </w:tr>
    </w:tbl>
    <w:p w14:paraId="1497549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E6E"/>
    <w:rsid w:val="0005331E"/>
    <w:rsid w:val="001A56C0"/>
    <w:rsid w:val="001D04AE"/>
    <w:rsid w:val="003F3E6E"/>
    <w:rsid w:val="00530BCC"/>
    <w:rsid w:val="005A5351"/>
    <w:rsid w:val="006776CB"/>
    <w:rsid w:val="007E39CD"/>
    <w:rsid w:val="008810F4"/>
    <w:rsid w:val="00AA2CD3"/>
    <w:rsid w:val="00AB58DF"/>
    <w:rsid w:val="00C162BF"/>
    <w:rsid w:val="00CF54A1"/>
    <w:rsid w:val="00DE00BC"/>
    <w:rsid w:val="0F916987"/>
    <w:rsid w:val="212640E8"/>
    <w:rsid w:val="31597EF5"/>
    <w:rsid w:val="3676374D"/>
    <w:rsid w:val="38AA3B82"/>
    <w:rsid w:val="480D72B7"/>
    <w:rsid w:val="620121B5"/>
    <w:rsid w:val="6C413044"/>
    <w:rsid w:val="6D8C341C"/>
    <w:rsid w:val="7A5D50F1"/>
    <w:rsid w:val="7A801373"/>
    <w:rsid w:val="D6FEDCFC"/>
    <w:rsid w:val="FEEDD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4">
    <w:name w:val="heading 1"/>
    <w:basedOn w:val="1"/>
    <w:next w:val="2"/>
    <w:link w:val="30"/>
    <w:qFormat/>
    <w:uiPriority w:val="9"/>
    <w:pPr>
      <w:keepNext/>
      <w:keepLines/>
      <w:spacing w:before="340" w:after="330" w:line="576" w:lineRule="auto"/>
      <w:outlineLvl w:val="0"/>
    </w:pPr>
    <w:rPr>
      <w:b/>
      <w:bCs/>
      <w:kern w:val="44"/>
      <w:sz w:val="44"/>
      <w:szCs w:val="44"/>
    </w:rPr>
  </w:style>
  <w:style w:type="paragraph" w:styleId="5">
    <w:name w:val="heading 2"/>
    <w:basedOn w:val="1"/>
    <w:next w:val="1"/>
    <w:link w:val="81"/>
    <w:qFormat/>
    <w:uiPriority w:val="9"/>
    <w:pPr>
      <w:keepNext/>
      <w:keepLines/>
      <w:spacing w:before="260" w:after="260" w:line="416" w:lineRule="auto"/>
      <w:outlineLvl w:val="1"/>
    </w:pPr>
    <w:rPr>
      <w:rFonts w:ascii="Cambria" w:hAnsi="Cambria"/>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jc w:val="left"/>
    </w:pPr>
    <w:rPr>
      <w:rFonts w:ascii="宋体" w:hAnsi="宋体"/>
    </w:rPr>
  </w:style>
  <w:style w:type="paragraph" w:styleId="3">
    <w:name w:val="Body Text Indent"/>
    <w:basedOn w:val="1"/>
    <w:qFormat/>
    <w:uiPriority w:val="99"/>
    <w:pPr>
      <w:ind w:firstLine="830" w:firstLineChars="352"/>
    </w:pPr>
    <w:rPr>
      <w:rFonts w:ascii="仿宋_GB2312" w:eastAsia="仿宋_GB2312"/>
      <w:kern w:val="0"/>
      <w:sz w:val="32"/>
      <w:szCs w:val="20"/>
    </w:rPr>
  </w:style>
  <w:style w:type="paragraph" w:styleId="6">
    <w:name w:val="Normal Indent"/>
    <w:basedOn w:val="1"/>
    <w:next w:val="1"/>
    <w:qFormat/>
    <w:uiPriority w:val="0"/>
    <w:pPr>
      <w:ind w:firstLine="420"/>
    </w:pPr>
    <w:rPr>
      <w:szCs w:val="20"/>
    </w:rPr>
  </w:style>
  <w:style w:type="paragraph" w:styleId="7">
    <w:name w:val="annotation text"/>
    <w:basedOn w:val="1"/>
    <w:link w:val="27"/>
    <w:qFormat/>
    <w:uiPriority w:val="99"/>
    <w:pPr>
      <w:jc w:val="left"/>
    </w:pPr>
  </w:style>
  <w:style w:type="paragraph" w:styleId="8">
    <w:name w:val="Body Text"/>
    <w:basedOn w:val="1"/>
    <w:link w:val="28"/>
    <w:qFormat/>
    <w:uiPriority w:val="0"/>
    <w:pPr>
      <w:spacing w:line="360" w:lineRule="auto"/>
    </w:pPr>
    <w:rPr>
      <w:b/>
      <w:bCs/>
      <w:sz w:val="24"/>
    </w:rPr>
  </w:style>
  <w:style w:type="paragraph" w:styleId="9">
    <w:name w:val="Balloon Text"/>
    <w:basedOn w:val="1"/>
    <w:link w:val="26"/>
    <w:qFormat/>
    <w:uiPriority w:val="99"/>
    <w:rPr>
      <w:rFonts w:ascii="Times New Roman" w:hAnsi="Times New Roman" w:eastAsia="仿宋_GB2312" w:cs="Times New Roman"/>
      <w:spacing w:val="10"/>
      <w:sz w:val="18"/>
      <w:szCs w:val="18"/>
    </w:rPr>
  </w:style>
  <w:style w:type="paragraph" w:styleId="10">
    <w:name w:val="footer"/>
    <w:basedOn w:val="1"/>
    <w:link w:val="23"/>
    <w:qFormat/>
    <w:uiPriority w:val="99"/>
    <w:pPr>
      <w:tabs>
        <w:tab w:val="center" w:pos="4153"/>
        <w:tab w:val="right" w:pos="8306"/>
      </w:tabs>
      <w:snapToGrid w:val="0"/>
      <w:jc w:val="left"/>
    </w:pPr>
    <w:rPr>
      <w:sz w:val="18"/>
      <w:szCs w:val="18"/>
    </w:rPr>
  </w:style>
  <w:style w:type="paragraph" w:styleId="11">
    <w:name w:val="header"/>
    <w:basedOn w:val="1"/>
    <w:link w:val="22"/>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13">
    <w:name w:val="annotation subject"/>
    <w:basedOn w:val="7"/>
    <w:next w:val="7"/>
    <w:link w:val="80"/>
    <w:qFormat/>
    <w:uiPriority w:val="99"/>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FollowedHyperlink"/>
    <w:basedOn w:val="16"/>
    <w:qFormat/>
    <w:uiPriority w:val="99"/>
    <w:rPr>
      <w:color w:val="800080"/>
      <w:sz w:val="20"/>
      <w:szCs w:val="20"/>
      <w:u w:val="single"/>
    </w:rPr>
  </w:style>
  <w:style w:type="character" w:styleId="19">
    <w:name w:val="Hyperlink"/>
    <w:basedOn w:val="16"/>
    <w:qFormat/>
    <w:uiPriority w:val="99"/>
    <w:rPr>
      <w:color w:val="0000FF"/>
      <w:sz w:val="20"/>
      <w:szCs w:val="20"/>
      <w:u w:val="single"/>
    </w:rPr>
  </w:style>
  <w:style w:type="character" w:styleId="20">
    <w:name w:val="annotation reference"/>
    <w:basedOn w:val="16"/>
    <w:qFormat/>
    <w:uiPriority w:val="99"/>
    <w:rPr>
      <w:sz w:val="21"/>
      <w:szCs w:val="21"/>
    </w:rPr>
  </w:style>
  <w:style w:type="paragraph" w:customStyle="1" w:styleId="21">
    <w:name w:val="tableheader"/>
    <w:basedOn w:val="1"/>
    <w:qFormat/>
    <w:uiPriority w:val="0"/>
    <w:pPr>
      <w:widowControl/>
      <w:shd w:val="clear" w:color="auto" w:fill="ABCDEF"/>
      <w:spacing w:before="100" w:beforeAutospacing="1" w:after="100" w:afterAutospacing="1"/>
      <w:jc w:val="left"/>
    </w:pPr>
    <w:rPr>
      <w:rFonts w:ascii="宋体" w:hAnsi="宋体"/>
      <w:kern w:val="0"/>
      <w:sz w:val="24"/>
      <w:szCs w:val="24"/>
    </w:rPr>
  </w:style>
  <w:style w:type="character" w:customStyle="1" w:styleId="22">
    <w:name w:val="页眉 字符"/>
    <w:basedOn w:val="16"/>
    <w:link w:val="11"/>
    <w:qFormat/>
    <w:uiPriority w:val="0"/>
    <w:rPr>
      <w:rFonts w:ascii="Times New Roman" w:hAnsi="Times New Roman" w:eastAsia="宋体" w:cs="Times New Roman"/>
      <w:sz w:val="18"/>
      <w:szCs w:val="18"/>
    </w:rPr>
  </w:style>
  <w:style w:type="character" w:customStyle="1" w:styleId="23">
    <w:name w:val="页脚 字符"/>
    <w:basedOn w:val="16"/>
    <w:link w:val="10"/>
    <w:qFormat/>
    <w:uiPriority w:val="99"/>
    <w:rPr>
      <w:sz w:val="18"/>
      <w:szCs w:val="18"/>
    </w:rPr>
  </w:style>
  <w:style w:type="paragraph" w:customStyle="1" w:styleId="24">
    <w:name w:val="首行缩进"/>
    <w:basedOn w:val="1"/>
    <w:qFormat/>
    <w:uiPriority w:val="0"/>
    <w:pPr>
      <w:ind w:firstLine="480" w:firstLineChars="200"/>
    </w:pPr>
    <w:rPr>
      <w:rFonts w:eastAsia="仿宋" w:cs="Times New Roman"/>
      <w:sz w:val="28"/>
      <w:lang w:val="zh-CN"/>
    </w:rPr>
  </w:style>
  <w:style w:type="paragraph" w:styleId="25">
    <w:name w:val="List Paragraph"/>
    <w:basedOn w:val="1"/>
    <w:qFormat/>
    <w:uiPriority w:val="34"/>
    <w:pPr>
      <w:ind w:firstLine="420" w:firstLineChars="200"/>
    </w:pPr>
  </w:style>
  <w:style w:type="character" w:customStyle="1" w:styleId="26">
    <w:name w:val="批注框文本 字符"/>
    <w:basedOn w:val="16"/>
    <w:link w:val="9"/>
    <w:qFormat/>
    <w:uiPriority w:val="99"/>
    <w:rPr>
      <w:rFonts w:ascii="Times New Roman" w:hAnsi="Times New Roman" w:eastAsia="仿宋_GB2312" w:cs="Times New Roman"/>
      <w:spacing w:val="10"/>
      <w:sz w:val="18"/>
      <w:szCs w:val="18"/>
    </w:rPr>
  </w:style>
  <w:style w:type="character" w:customStyle="1" w:styleId="27">
    <w:name w:val="批注文字 字符"/>
    <w:basedOn w:val="16"/>
    <w:link w:val="7"/>
    <w:qFormat/>
    <w:uiPriority w:val="99"/>
    <w:rPr>
      <w:kern w:val="2"/>
      <w:sz w:val="21"/>
      <w:szCs w:val="22"/>
    </w:rPr>
  </w:style>
  <w:style w:type="character" w:customStyle="1" w:styleId="28">
    <w:name w:val="正文文本 字符"/>
    <w:basedOn w:val="16"/>
    <w:link w:val="8"/>
    <w:qFormat/>
    <w:uiPriority w:val="0"/>
    <w:rPr>
      <w:b/>
      <w:bCs/>
      <w:kern w:val="2"/>
      <w:sz w:val="24"/>
      <w:szCs w:val="22"/>
    </w:rPr>
  </w:style>
  <w:style w:type="paragraph" w:customStyle="1" w:styleId="29">
    <w:name w:val="p0"/>
    <w:basedOn w:val="1"/>
    <w:qFormat/>
    <w:uiPriority w:val="99"/>
    <w:pPr>
      <w:widowControl/>
    </w:pPr>
    <w:rPr>
      <w:rFonts w:ascii="Times New Roman" w:hAnsi="Times New Roman" w:cs="Times New Roman"/>
      <w:kern w:val="0"/>
      <w:szCs w:val="21"/>
    </w:rPr>
  </w:style>
  <w:style w:type="character" w:customStyle="1" w:styleId="30">
    <w:name w:val="标题 1 字符"/>
    <w:basedOn w:val="16"/>
    <w:link w:val="4"/>
    <w:qFormat/>
    <w:uiPriority w:val="9"/>
    <w:rPr>
      <w:b/>
      <w:bCs/>
      <w:kern w:val="44"/>
      <w:sz w:val="44"/>
      <w:szCs w:val="44"/>
    </w:rPr>
  </w:style>
  <w:style w:type="paragraph" w:customStyle="1" w:styleId="31">
    <w:name w:val="msonormal"/>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32">
    <w:name w:val="font0"/>
    <w:basedOn w:val="1"/>
    <w:qFormat/>
    <w:uiPriority w:val="0"/>
    <w:pPr>
      <w:widowControl/>
      <w:spacing w:before="100" w:beforeAutospacing="1" w:after="100" w:afterAutospacing="1"/>
      <w:jc w:val="left"/>
    </w:pPr>
    <w:rPr>
      <w:rFonts w:ascii="宋体" w:hAnsi="宋体"/>
      <w:color w:val="000000"/>
      <w:kern w:val="0"/>
      <w:sz w:val="22"/>
    </w:rPr>
  </w:style>
  <w:style w:type="paragraph" w:customStyle="1" w:styleId="33">
    <w:name w:val="font5"/>
    <w:basedOn w:val="1"/>
    <w:qFormat/>
    <w:uiPriority w:val="0"/>
    <w:pPr>
      <w:widowControl/>
      <w:spacing w:before="100" w:beforeAutospacing="1" w:after="100" w:afterAutospacing="1"/>
      <w:jc w:val="left"/>
    </w:pPr>
    <w:rPr>
      <w:rFonts w:ascii="宋体" w:hAnsi="宋体"/>
      <w:color w:val="000000"/>
      <w:kern w:val="0"/>
      <w:szCs w:val="21"/>
    </w:rPr>
  </w:style>
  <w:style w:type="paragraph" w:customStyle="1" w:styleId="34">
    <w:name w:val="font6"/>
    <w:basedOn w:val="1"/>
    <w:qFormat/>
    <w:uiPriority w:val="0"/>
    <w:pPr>
      <w:widowControl/>
      <w:spacing w:before="100" w:beforeAutospacing="1" w:after="100" w:afterAutospacing="1"/>
      <w:jc w:val="left"/>
    </w:pPr>
    <w:rPr>
      <w:rFonts w:ascii="Times New Roman" w:hAnsi="Times New Roman" w:cs="Times New Roman"/>
      <w:color w:val="000000"/>
      <w:kern w:val="0"/>
      <w:szCs w:val="21"/>
    </w:rPr>
  </w:style>
  <w:style w:type="paragraph" w:customStyle="1" w:styleId="35">
    <w:name w:val="font7"/>
    <w:basedOn w:val="1"/>
    <w:qFormat/>
    <w:uiPriority w:val="0"/>
    <w:pPr>
      <w:widowControl/>
      <w:spacing w:before="100" w:beforeAutospacing="1" w:after="100" w:afterAutospacing="1"/>
      <w:jc w:val="left"/>
    </w:pPr>
    <w:rPr>
      <w:rFonts w:ascii="宋体" w:hAnsi="宋体"/>
      <w:color w:val="000000"/>
      <w:kern w:val="0"/>
      <w:sz w:val="24"/>
      <w:szCs w:val="24"/>
    </w:rPr>
  </w:style>
  <w:style w:type="paragraph" w:customStyle="1" w:styleId="36">
    <w:name w:val="font8"/>
    <w:basedOn w:val="1"/>
    <w:qFormat/>
    <w:uiPriority w:val="0"/>
    <w:pPr>
      <w:widowControl/>
      <w:spacing w:before="100" w:beforeAutospacing="1" w:after="100" w:afterAutospacing="1"/>
      <w:jc w:val="left"/>
    </w:pPr>
    <w:rPr>
      <w:rFonts w:ascii="宋体" w:hAnsi="宋体"/>
      <w:color w:val="000000"/>
      <w:kern w:val="0"/>
      <w:sz w:val="24"/>
      <w:szCs w:val="24"/>
    </w:rPr>
  </w:style>
  <w:style w:type="paragraph" w:customStyle="1" w:styleId="37">
    <w:name w:val="font9"/>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38">
    <w:name w:val="font10"/>
    <w:basedOn w:val="1"/>
    <w:qFormat/>
    <w:uiPriority w:val="0"/>
    <w:pPr>
      <w:widowControl/>
      <w:spacing w:before="100" w:beforeAutospacing="1" w:after="100" w:afterAutospacing="1"/>
      <w:jc w:val="left"/>
    </w:pPr>
    <w:rPr>
      <w:rFonts w:ascii="宋体" w:hAnsi="宋体"/>
      <w:color w:val="000000"/>
      <w:kern w:val="0"/>
      <w:sz w:val="22"/>
    </w:rPr>
  </w:style>
  <w:style w:type="paragraph" w:customStyle="1" w:styleId="39">
    <w:name w:val="xl65"/>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0">
    <w:name w:val="xl66"/>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4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4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kern w:val="0"/>
      <w:szCs w:val="21"/>
    </w:rPr>
  </w:style>
  <w:style w:type="paragraph" w:customStyle="1" w:styleId="4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szCs w:val="24"/>
    </w:rPr>
  </w:style>
  <w:style w:type="paragraph" w:customStyle="1" w:styleId="4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kern w:val="0"/>
      <w:sz w:val="24"/>
      <w:szCs w:val="24"/>
    </w:rPr>
  </w:style>
  <w:style w:type="paragraph" w:customStyle="1" w:styleId="4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4"/>
      <w:szCs w:val="24"/>
    </w:rPr>
  </w:style>
  <w:style w:type="paragraph" w:customStyle="1" w:styleId="4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Cs w:val="21"/>
    </w:rPr>
  </w:style>
  <w:style w:type="paragraph" w:customStyle="1" w:styleId="4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4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kern w:val="0"/>
      <w:szCs w:val="21"/>
    </w:rPr>
  </w:style>
  <w:style w:type="paragraph" w:customStyle="1" w:styleId="4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50">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5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kern w:val="0"/>
      <w:szCs w:val="21"/>
    </w:rPr>
  </w:style>
  <w:style w:type="paragraph" w:customStyle="1" w:styleId="5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53">
    <w:name w:val="xl79"/>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kern w:val="0"/>
      <w:szCs w:val="21"/>
    </w:rPr>
  </w:style>
  <w:style w:type="paragraph" w:customStyle="1" w:styleId="54">
    <w:name w:val="xl8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55">
    <w:name w:val="xl8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5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szCs w:val="24"/>
    </w:rPr>
  </w:style>
  <w:style w:type="paragraph" w:customStyle="1" w:styleId="5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szCs w:val="24"/>
    </w:rPr>
  </w:style>
  <w:style w:type="paragraph" w:customStyle="1" w:styleId="58">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olor w:val="000000"/>
      <w:kern w:val="0"/>
      <w:sz w:val="24"/>
      <w:szCs w:val="24"/>
    </w:rPr>
  </w:style>
  <w:style w:type="paragraph" w:customStyle="1" w:styleId="59">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olor w:val="000000"/>
      <w:kern w:val="0"/>
      <w:sz w:val="24"/>
      <w:szCs w:val="24"/>
    </w:rPr>
  </w:style>
  <w:style w:type="paragraph" w:customStyle="1" w:styleId="60">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4"/>
      <w:szCs w:val="24"/>
    </w:rPr>
  </w:style>
  <w:style w:type="paragraph" w:customStyle="1" w:styleId="61">
    <w:name w:val="xl87"/>
    <w:basedOn w:val="1"/>
    <w:qFormat/>
    <w:uiPriority w:val="0"/>
    <w:pPr>
      <w:widowControl/>
      <w:pBdr>
        <w:top w:val="single" w:color="auto" w:sz="4" w:space="0"/>
        <w:left w:val="single" w:color="auto" w:sz="4" w:space="0"/>
        <w:bottom w:val="single" w:color="auto" w:sz="4" w:space="0"/>
      </w:pBdr>
      <w:spacing w:before="100" w:beforeAutospacing="1" w:after="100" w:afterAutospacing="1"/>
    </w:pPr>
    <w:rPr>
      <w:rFonts w:ascii="宋体" w:hAnsi="宋体"/>
      <w:b/>
      <w:bCs/>
      <w:color w:val="000000"/>
      <w:kern w:val="0"/>
      <w:sz w:val="24"/>
      <w:szCs w:val="24"/>
    </w:rPr>
  </w:style>
  <w:style w:type="paragraph" w:customStyle="1" w:styleId="62">
    <w:name w:val="xl88"/>
    <w:basedOn w:val="1"/>
    <w:qFormat/>
    <w:uiPriority w:val="0"/>
    <w:pPr>
      <w:widowControl/>
      <w:pBdr>
        <w:top w:val="single" w:color="auto" w:sz="4" w:space="0"/>
        <w:bottom w:val="single" w:color="auto" w:sz="4" w:space="0"/>
      </w:pBdr>
      <w:spacing w:before="100" w:beforeAutospacing="1" w:after="100" w:afterAutospacing="1"/>
    </w:pPr>
    <w:rPr>
      <w:rFonts w:ascii="宋体" w:hAnsi="宋体"/>
      <w:b/>
      <w:bCs/>
      <w:color w:val="000000"/>
      <w:kern w:val="0"/>
      <w:sz w:val="24"/>
      <w:szCs w:val="24"/>
    </w:rPr>
  </w:style>
  <w:style w:type="paragraph" w:customStyle="1" w:styleId="63">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宋体" w:hAnsi="宋体"/>
      <w:b/>
      <w:bCs/>
      <w:color w:val="000000"/>
      <w:kern w:val="0"/>
      <w:sz w:val="24"/>
      <w:szCs w:val="24"/>
    </w:rPr>
  </w:style>
  <w:style w:type="paragraph" w:customStyle="1" w:styleId="6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65">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cs="Times New Roman"/>
      <w:kern w:val="0"/>
      <w:sz w:val="24"/>
      <w:szCs w:val="24"/>
    </w:rPr>
  </w:style>
  <w:style w:type="paragraph" w:customStyle="1" w:styleId="66">
    <w:name w:val="xl92"/>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cs="Times New Roman"/>
      <w:kern w:val="0"/>
      <w:sz w:val="24"/>
      <w:szCs w:val="24"/>
    </w:rPr>
  </w:style>
  <w:style w:type="paragraph" w:customStyle="1" w:styleId="67">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kern w:val="0"/>
      <w:sz w:val="24"/>
      <w:szCs w:val="24"/>
    </w:rPr>
  </w:style>
  <w:style w:type="paragraph" w:customStyle="1" w:styleId="6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b/>
      <w:bCs/>
      <w:color w:val="000000"/>
      <w:kern w:val="0"/>
      <w:sz w:val="24"/>
      <w:szCs w:val="24"/>
    </w:rPr>
  </w:style>
  <w:style w:type="paragraph" w:customStyle="1" w:styleId="69">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bCs/>
      <w:color w:val="000000"/>
      <w:kern w:val="0"/>
      <w:sz w:val="24"/>
      <w:szCs w:val="24"/>
    </w:rPr>
  </w:style>
  <w:style w:type="paragraph" w:customStyle="1" w:styleId="70">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pPr>
    <w:rPr>
      <w:rFonts w:ascii="宋体" w:hAnsi="宋体"/>
      <w:b/>
      <w:bCs/>
      <w:kern w:val="0"/>
      <w:szCs w:val="21"/>
    </w:rPr>
  </w:style>
  <w:style w:type="paragraph" w:customStyle="1" w:styleId="71">
    <w:name w:val="xl97"/>
    <w:basedOn w:val="1"/>
    <w:qFormat/>
    <w:uiPriority w:val="0"/>
    <w:pPr>
      <w:widowControl/>
      <w:pBdr>
        <w:top w:val="single" w:color="auto" w:sz="4" w:space="0"/>
        <w:bottom w:val="single" w:color="auto" w:sz="4" w:space="0"/>
      </w:pBdr>
      <w:spacing w:before="100" w:beforeAutospacing="1" w:after="100" w:afterAutospacing="1"/>
    </w:pPr>
    <w:rPr>
      <w:rFonts w:ascii="宋体" w:hAnsi="宋体"/>
      <w:b/>
      <w:bCs/>
      <w:kern w:val="0"/>
      <w:szCs w:val="21"/>
    </w:rPr>
  </w:style>
  <w:style w:type="paragraph" w:customStyle="1" w:styleId="72">
    <w:name w:val="xl98"/>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宋体" w:hAnsi="宋体"/>
      <w:b/>
      <w:bCs/>
      <w:kern w:val="0"/>
      <w:szCs w:val="21"/>
    </w:rPr>
  </w:style>
  <w:style w:type="paragraph" w:customStyle="1" w:styleId="73">
    <w:name w:val="font11"/>
    <w:basedOn w:val="1"/>
    <w:qFormat/>
    <w:uiPriority w:val="0"/>
    <w:pPr>
      <w:widowControl/>
      <w:spacing w:before="100" w:beforeAutospacing="1" w:after="100" w:afterAutospacing="1"/>
      <w:jc w:val="left"/>
    </w:pPr>
    <w:rPr>
      <w:rFonts w:ascii="Segoe UI Symbol" w:hAnsi="Segoe UI Symbol"/>
      <w:color w:val="000000"/>
      <w:kern w:val="0"/>
      <w:szCs w:val="21"/>
    </w:rPr>
  </w:style>
  <w:style w:type="paragraph" w:customStyle="1" w:styleId="74">
    <w:name w:val="xl9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cs="Times New Roman"/>
      <w:kern w:val="0"/>
      <w:szCs w:val="21"/>
    </w:rPr>
  </w:style>
  <w:style w:type="paragraph" w:customStyle="1" w:styleId="75">
    <w:name w:val="xl100"/>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cs="Times New Roman"/>
      <w:kern w:val="0"/>
      <w:szCs w:val="21"/>
    </w:rPr>
  </w:style>
  <w:style w:type="paragraph" w:customStyle="1" w:styleId="76">
    <w:name w:val="xl10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kern w:val="0"/>
      <w:szCs w:val="21"/>
    </w:rPr>
  </w:style>
  <w:style w:type="paragraph" w:customStyle="1" w:styleId="77">
    <w:name w:val="1级列项"/>
    <w:basedOn w:val="1"/>
    <w:qFormat/>
    <w:uiPriority w:val="0"/>
    <w:pPr>
      <w:tabs>
        <w:tab w:val="left" w:pos="840"/>
      </w:tabs>
      <w:spacing w:line="480" w:lineRule="exact"/>
      <w:ind w:left="840" w:hanging="360"/>
    </w:pPr>
    <w:rPr>
      <w:rFonts w:ascii="Times New Roman" w:hAnsi="Times New Roman" w:cs="Times New Roman"/>
      <w:sz w:val="24"/>
      <w:szCs w:val="24"/>
    </w:rPr>
  </w:style>
  <w:style w:type="paragraph" w:customStyle="1" w:styleId="78">
    <w:name w:val="图"/>
    <w:basedOn w:val="1"/>
    <w:qFormat/>
    <w:uiPriority w:val="0"/>
    <w:pPr>
      <w:keepNext/>
      <w:adjustRightInd w:val="0"/>
      <w:spacing w:before="60" w:after="60" w:line="300" w:lineRule="auto"/>
      <w:ind w:left="30" w:leftChars="30" w:firstLine="203" w:firstLineChars="203"/>
      <w:jc w:val="center"/>
      <w:textAlignment w:val="center"/>
    </w:pPr>
    <w:rPr>
      <w:rFonts w:ascii="Times New Roman" w:hAnsi="Times New Roman" w:cs="Times New Roman"/>
      <w:snapToGrid w:val="0"/>
      <w:spacing w:val="20"/>
      <w:kern w:val="0"/>
      <w:sz w:val="24"/>
      <w:szCs w:val="20"/>
    </w:rPr>
  </w:style>
  <w:style w:type="character" w:customStyle="1" w:styleId="79">
    <w:name w:val="font21"/>
    <w:basedOn w:val="16"/>
    <w:qFormat/>
    <w:uiPriority w:val="0"/>
    <w:rPr>
      <w:rFonts w:hint="eastAsia" w:ascii="宋体" w:hAnsi="宋体" w:eastAsia="宋体" w:cs="宋体"/>
      <w:color w:val="000000"/>
      <w:sz w:val="21"/>
      <w:szCs w:val="21"/>
      <w:u w:val="none"/>
    </w:rPr>
  </w:style>
  <w:style w:type="character" w:customStyle="1" w:styleId="80">
    <w:name w:val="批注主题 字符"/>
    <w:basedOn w:val="27"/>
    <w:link w:val="13"/>
    <w:qFormat/>
    <w:uiPriority w:val="99"/>
    <w:rPr>
      <w:b/>
      <w:bCs/>
      <w:kern w:val="2"/>
      <w:sz w:val="21"/>
      <w:szCs w:val="22"/>
    </w:rPr>
  </w:style>
  <w:style w:type="character" w:customStyle="1" w:styleId="81">
    <w:name w:val="标题 2 字符"/>
    <w:basedOn w:val="16"/>
    <w:link w:val="5"/>
    <w:qFormat/>
    <w:uiPriority w:val="9"/>
    <w:rPr>
      <w:rFonts w:ascii="Cambria" w:hAnsi="Cambria" w:eastAsia="宋体" w:cs="宋体"/>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8F73E104-A0E7-4518-86D1-D707A59E4CBA}">
  <ds:schemaRefs/>
</ds:datastoreItem>
</file>

<file path=docProps/app.xml><?xml version="1.0" encoding="utf-8"?>
<Properties xmlns="http://schemas.openxmlformats.org/officeDocument/2006/extended-properties" xmlns:vt="http://schemas.openxmlformats.org/officeDocument/2006/docPropsVTypes">
  <Template>Normal.dotm</Template>
  <Company>DELL</Company>
  <Pages>4</Pages>
  <Words>3403</Words>
  <Characters>3607</Characters>
  <Lines>27</Lines>
  <Paragraphs>7</Paragraphs>
  <TotalTime>0</TotalTime>
  <ScaleCrop>false</ScaleCrop>
  <LinksUpToDate>false</LinksUpToDate>
  <CharactersWithSpaces>3654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2024-12-28T14:07:00Z</dcterms:created>
  <dc:creator>张婷婷</dc:creator>
  <cp:lastModifiedBy>SMN</cp:lastModifiedBy>
  <dcterms:modified xsi:type="dcterms:W3CDTF">2026-09-07T08:46:28Z</dcterms:modified>
  <cp:revision>204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523E6FBD33739B05649A9A6A7BC60FEF_43</vt:lpwstr>
  </property>
  <property fmtid="{D5CDD505-2E9C-101B-9397-08002B2CF9AE}" pid="4" name="KSOTemplateDocerSaveRecord">
    <vt:lpwstr>eyJoZGlkIjoiNWI5MzFlZGQ1MWM5ZjJlZGU1ZDlkNWI3M2NjN2I4NDUiLCJ1c2VySWQiOiIzNDQ0ODA3MjQifQ==</vt:lpwstr>
  </property>
</Properties>
</file>