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BF636">
      <w:pPr>
        <w:rPr>
          <w:rFonts w:ascii="方正小标宋_GBK" w:hAnsi="方正小标宋简体" w:eastAsia="方正小标宋_GBK" w:cs="方正小标宋简体"/>
          <w:b w:val="0"/>
          <w:bCs w:val="0"/>
          <w:sz w:val="32"/>
          <w:szCs w:val="32"/>
        </w:rPr>
      </w:pPr>
      <w:r>
        <w:rPr>
          <w:rFonts w:hint="eastAsia"/>
          <w:b w:val="0"/>
          <w:bCs w:val="0"/>
        </w:rPr>
        <w:t xml:space="preserve">                                                                                                                                                                                                       </w:t>
      </w:r>
      <w:bookmarkStart w:id="0" w:name="OLE_LINK1"/>
      <w:bookmarkStart w:id="1" w:name="OLE_LINK2"/>
      <w:r>
        <w:rPr>
          <w:rFonts w:hint="eastAsia" w:ascii="方正小标宋_GBK" w:hAnsi="方正小标宋简体" w:eastAsia="方正小标宋_GBK" w:cs="方正小标宋简体"/>
          <w:b w:val="0"/>
          <w:bCs w:val="0"/>
          <w:sz w:val="32"/>
          <w:szCs w:val="32"/>
        </w:rPr>
        <w:t>南方医科大学深圳口腔医院（坪山）</w:t>
      </w:r>
    </w:p>
    <w:p w14:paraId="6D341D3A">
      <w:pPr>
        <w:rPr>
          <w:rFonts w:ascii="方正小标宋_GBK" w:hAnsi="方正小标宋简体" w:eastAsia="方正小标宋_GBK" w:cs="方正小标宋简体"/>
          <w:b w:val="0"/>
          <w:bCs w:val="0"/>
          <w:sz w:val="32"/>
          <w:szCs w:val="32"/>
        </w:rPr>
      </w:pPr>
      <w:bookmarkStart w:id="2" w:name="OLE_LINK21"/>
      <w:bookmarkStart w:id="3" w:name="OLE_LINK20"/>
      <w:r>
        <w:rPr>
          <w:rFonts w:hint="eastAsia" w:ascii="方正小标宋_GBK" w:hAnsi="方正小标宋简体" w:eastAsia="方正小标宋_GBK" w:cs="方正小标宋简体"/>
          <w:b w:val="0"/>
          <w:bCs w:val="0"/>
          <w:sz w:val="32"/>
          <w:szCs w:val="32"/>
        </w:rPr>
        <w:t>消防设施设备维修整改项目</w:t>
      </w:r>
      <w:bookmarkEnd w:id="0"/>
      <w:bookmarkEnd w:id="1"/>
      <w:bookmarkEnd w:id="2"/>
      <w:bookmarkEnd w:id="3"/>
      <w:r>
        <w:rPr>
          <w:rFonts w:hint="eastAsia" w:ascii="方正小标宋_GBK" w:hAnsi="方正小标宋简体" w:eastAsia="方正小标宋_GBK" w:cs="方正小标宋简体"/>
          <w:b w:val="0"/>
          <w:bCs w:val="0"/>
          <w:sz w:val="32"/>
          <w:szCs w:val="32"/>
        </w:rPr>
        <w:t>采购需求</w:t>
      </w:r>
    </w:p>
    <w:p w14:paraId="7D1D05E5">
      <w:pPr>
        <w:rPr>
          <w:rFonts w:ascii="方正小标宋简体" w:hAnsi="方正小标宋简体" w:eastAsia="方正小标宋简体" w:cs="方正小标宋简体"/>
          <w:b w:val="0"/>
          <w:bCs w:val="0"/>
          <w:szCs w:val="32"/>
        </w:rPr>
      </w:pPr>
      <w:r>
        <w:rPr>
          <w:rFonts w:hint="eastAsia" w:ascii="方正小标宋_GBK" w:hAnsi="方正小标宋简体" w:eastAsia="方正小标宋_GBK" w:cs="方正小标宋简体"/>
          <w:b w:val="0"/>
          <w:bCs w:val="0"/>
          <w:szCs w:val="32"/>
        </w:rPr>
        <w:t>（项目编号：</w:t>
      </w:r>
      <w:r>
        <w:rPr>
          <w:rFonts w:ascii="方正小标宋_GBK" w:hAnsi="方正小标宋简体" w:eastAsia="方正小标宋_GBK" w:cs="方正小标宋简体"/>
          <w:b w:val="0"/>
          <w:bCs w:val="0"/>
          <w:szCs w:val="32"/>
        </w:rPr>
        <w:t>NFYKDSZKQ-AQSC-GC-XFSBWX-2026929001</w:t>
      </w:r>
      <w:r>
        <w:rPr>
          <w:rFonts w:hint="eastAsia" w:ascii="方正小标宋_GBK" w:hAnsi="方正小标宋简体" w:eastAsia="方正小标宋_GBK" w:cs="方正小标宋简体"/>
          <w:b w:val="0"/>
          <w:bCs w:val="0"/>
          <w:szCs w:val="32"/>
        </w:rPr>
        <w:t>）</w:t>
      </w:r>
    </w:p>
    <w:tbl>
      <w:tblPr>
        <w:tblStyle w:val="10"/>
        <w:tblpPr w:leftFromText="180" w:rightFromText="180" w:vertAnchor="text" w:horzAnchor="page" w:tblpX="554" w:tblpY="301"/>
        <w:tblOverlap w:val="never"/>
        <w:tblW w:w="10237" w:type="dxa"/>
        <w:tblCellSpacing w:w="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1085"/>
        <w:gridCol w:w="4768"/>
        <w:gridCol w:w="1868"/>
        <w:gridCol w:w="2516"/>
      </w:tblGrid>
      <w:tr w14:paraId="047F2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89" w:hRule="atLeast"/>
          <w:tblCellSpacing w:w="0" w:type="dxa"/>
        </w:trPr>
        <w:tc>
          <w:tcPr>
            <w:tcW w:w="1085" w:type="dxa"/>
            <w:vAlign w:val="center"/>
          </w:tcPr>
          <w:p w14:paraId="205B48F7">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项目名称</w:t>
            </w:r>
          </w:p>
        </w:tc>
        <w:tc>
          <w:tcPr>
            <w:tcW w:w="4768" w:type="dxa"/>
            <w:vAlign w:val="center"/>
          </w:tcPr>
          <w:p w14:paraId="1C99CEA7">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消防设施设备维修整改项目</w:t>
            </w:r>
          </w:p>
        </w:tc>
        <w:tc>
          <w:tcPr>
            <w:tcW w:w="1868" w:type="dxa"/>
            <w:vAlign w:val="center"/>
          </w:tcPr>
          <w:p w14:paraId="3B3EB3F7">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是否预选项目</w:t>
            </w:r>
          </w:p>
        </w:tc>
        <w:tc>
          <w:tcPr>
            <w:tcW w:w="2516" w:type="dxa"/>
            <w:vAlign w:val="center"/>
          </w:tcPr>
          <w:p w14:paraId="442182CA">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否</w:t>
            </w:r>
          </w:p>
        </w:tc>
      </w:tr>
      <w:tr w14:paraId="71828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99" w:hRule="atLeast"/>
          <w:tblCellSpacing w:w="0" w:type="dxa"/>
        </w:trPr>
        <w:tc>
          <w:tcPr>
            <w:tcW w:w="1085" w:type="dxa"/>
            <w:vAlign w:val="center"/>
          </w:tcPr>
          <w:p w14:paraId="70206310">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采购人名称</w:t>
            </w:r>
          </w:p>
        </w:tc>
        <w:tc>
          <w:tcPr>
            <w:tcW w:w="4768" w:type="dxa"/>
            <w:vAlign w:val="center"/>
          </w:tcPr>
          <w:p w14:paraId="75B6F14F">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南方医科大学深圳口腔医院（坪山）</w:t>
            </w:r>
          </w:p>
        </w:tc>
        <w:tc>
          <w:tcPr>
            <w:tcW w:w="1868" w:type="dxa"/>
            <w:vAlign w:val="center"/>
          </w:tcPr>
          <w:p w14:paraId="6308F693">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采购方式</w:t>
            </w:r>
          </w:p>
        </w:tc>
        <w:tc>
          <w:tcPr>
            <w:tcW w:w="2516" w:type="dxa"/>
            <w:vAlign w:val="center"/>
          </w:tcPr>
          <w:p w14:paraId="1E7AE4CB">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val="en-US" w:eastAsia="zh-CN"/>
              </w:rPr>
              <w:t>公开</w:t>
            </w:r>
            <w:r>
              <w:rPr>
                <w:rFonts w:hint="eastAsia" w:ascii="仿宋_GB2312" w:hAnsi="仿宋_GB2312" w:eastAsia="仿宋_GB2312" w:cs="仿宋_GB2312"/>
                <w:b w:val="0"/>
                <w:bCs w:val="0"/>
                <w:sz w:val="21"/>
                <w:szCs w:val="21"/>
              </w:rPr>
              <w:t>询价</w:t>
            </w:r>
          </w:p>
        </w:tc>
      </w:tr>
      <w:tr w14:paraId="3CB22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464" w:hRule="atLeast"/>
          <w:tblCellSpacing w:w="0" w:type="dxa"/>
        </w:trPr>
        <w:tc>
          <w:tcPr>
            <w:tcW w:w="1085" w:type="dxa"/>
            <w:vAlign w:val="center"/>
          </w:tcPr>
          <w:p w14:paraId="662F512B">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预算限额（元）</w:t>
            </w:r>
          </w:p>
        </w:tc>
        <w:tc>
          <w:tcPr>
            <w:tcW w:w="9152" w:type="dxa"/>
            <w:gridSpan w:val="3"/>
            <w:vAlign w:val="center"/>
          </w:tcPr>
          <w:p w14:paraId="329A2465">
            <w:pPr>
              <w:ind w:firstLine="3150" w:firstLineChars="15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49000.00</w:t>
            </w:r>
          </w:p>
        </w:tc>
      </w:tr>
      <w:tr w14:paraId="3E4E3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655" w:hRule="atLeast"/>
          <w:tblCellSpacing w:w="0" w:type="dxa"/>
        </w:trPr>
        <w:tc>
          <w:tcPr>
            <w:tcW w:w="1085" w:type="dxa"/>
            <w:vAlign w:val="center"/>
          </w:tcPr>
          <w:p w14:paraId="2B207100">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项目背景</w:t>
            </w:r>
          </w:p>
        </w:tc>
        <w:tc>
          <w:tcPr>
            <w:tcW w:w="9152" w:type="dxa"/>
            <w:gridSpan w:val="3"/>
            <w:vAlign w:val="center"/>
          </w:tcPr>
          <w:p w14:paraId="17935077">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根据近期消防安全检查情况，我院在负一楼消防水泵房、中控室、配电房、天面风机房及厨房等重点部位，根据消防相关规定，有16个消防设施设备故障需要维修整改，现拟对这些故障隐患统一维修整改。本次维修整改旨在通过专业的消防整改，消除我院现存消防安全隐患，提升整体消防安全防范水平，保障医院日常诊疗工作稳定开展，保护就诊患者、工作人员的人身安全与医院财产安全，符合消防监管部门的相关要求，顺利完成消防核验。</w:t>
            </w:r>
          </w:p>
        </w:tc>
      </w:tr>
      <w:tr w14:paraId="11B69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trPr>
        <w:tc>
          <w:tcPr>
            <w:tcW w:w="1085" w:type="dxa"/>
            <w:vAlign w:val="center"/>
          </w:tcPr>
          <w:p w14:paraId="5F077015">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报价人资质要求</w:t>
            </w:r>
          </w:p>
        </w:tc>
        <w:tc>
          <w:tcPr>
            <w:tcW w:w="9152" w:type="dxa"/>
            <w:gridSpan w:val="3"/>
          </w:tcPr>
          <w:p w14:paraId="695CE034">
            <w:pPr>
              <w:jc w:val="left"/>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报价人具有独立承担民事责任的能力（提供营业执照或事业单位法定代表人证书等证明资料扫描件；分支机构参与报价的，须同时提供总公司授权文件且授权书载明其民事责任由总公司承担，提供总公司及分支机构的营业执照扫描件，总公司或者分支机构只允许一家参与报价，不允许同时参与本项目报价）（提供营业执照原件扫描件并加盖报价人公章）。</w:t>
            </w:r>
          </w:p>
          <w:p w14:paraId="483301FD">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2.本项目不接受联合体报价，不允许分包、转包，不接受报价人选用进口产品参与报价(由报价人在《政府采购报价及履约承诺函》中做出声明）。</w:t>
            </w:r>
          </w:p>
          <w:p w14:paraId="635833CA">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3.报价人近三年内无行贿犯罪记录（由报价人在《政府采购报价及履约承诺函》中做出声明）。</w:t>
            </w:r>
          </w:p>
          <w:p w14:paraId="4A80B38B">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4.符合财政部和深圳市财政委员会关于诚信管理的要求，投标人</w:t>
            </w:r>
            <w:r>
              <w:rPr>
                <w:rFonts w:ascii="仿宋_GB2312" w:hAnsi="仿宋_GB2312" w:eastAsia="仿宋_GB2312" w:cs="仿宋_GB2312"/>
                <w:b w:val="0"/>
                <w:bCs w:val="0"/>
                <w:sz w:val="21"/>
                <w:szCs w:val="21"/>
              </w:rPr>
              <w:t>通过查询“信用中国"网站(www.creditchinagov.cn)没有以下任意记录名单之一:①记录失信被执行人;②重大税收违法案件当事人名单;③政府采购严重违法失信行为;中国政府采购网(http://www.ccgp.gov.cn)不处于“政府采购严重违法失信行为信息记录"中的禁止参加政府采购活动期间;在深圳市政府采购监管网(http://zfcg.sz.gov.cn/)查询相关主体信用记录（诚信档案），对不符合《中华人民共和国政府采购法》第二十二条规定条件的供应商，将取消其参与本次报价的资格(截图加盖公章)；</w:t>
            </w:r>
          </w:p>
          <w:p w14:paraId="7F58DAA5">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说明:所有投标人的以上信用信息查询记录和证据留存的具体方式为打印网页截图，信用信息查询记录及相关证据将作为项目档案材料一并保存。</w:t>
            </w:r>
          </w:p>
          <w:p w14:paraId="208BC759">
            <w:pPr>
              <w:numPr>
                <w:ilvl w:val="0"/>
                <w:numId w:val="1"/>
              </w:numPr>
              <w:jc w:val="left"/>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参与本项目的报价人不存在被有关部门禁止参与政府采购活动且在有效期内的情况（由报价人在《政府采购报价及履约承诺函》中做出声明）。</w:t>
            </w:r>
          </w:p>
          <w:p w14:paraId="27BC2FA1">
            <w:pPr>
              <w:numPr>
                <w:ilvl w:val="0"/>
                <w:numId w:val="1"/>
              </w:numPr>
              <w:jc w:val="left"/>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的报价（由供应商填写《供应商基本情况表》相关信息）。</w:t>
            </w:r>
          </w:p>
          <w:p w14:paraId="7C65FAA6">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val="en-US" w:eastAsia="zh-CN"/>
              </w:rPr>
              <w:t>7</w:t>
            </w:r>
            <w:r>
              <w:rPr>
                <w:rFonts w:hint="eastAsia"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lang w:val="en-US" w:eastAsia="zh-CN"/>
              </w:rPr>
              <w:t>报价</w:t>
            </w:r>
            <w:r>
              <w:rPr>
                <w:rFonts w:hint="eastAsia" w:ascii="仿宋_GB2312" w:hAnsi="仿宋_GB2312" w:eastAsia="仿宋_GB2312" w:cs="仿宋_GB2312"/>
                <w:b w:val="0"/>
                <w:bCs w:val="0"/>
                <w:sz w:val="21"/>
                <w:szCs w:val="21"/>
              </w:rPr>
              <w:t>人具备建设行政主管部门核发的有效的消防设施专业承包二级（乙级）或以上资质投标时须提供证书扫描件，原件备查）。</w:t>
            </w:r>
          </w:p>
          <w:p w14:paraId="31FED664">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val="en-US" w:eastAsia="zh-CN"/>
              </w:rPr>
              <w:t>8</w:t>
            </w:r>
            <w:r>
              <w:rPr>
                <w:rFonts w:hint="eastAsia" w:ascii="仿宋_GB2312" w:hAnsi="仿宋_GB2312" w:eastAsia="仿宋_GB2312" w:cs="仿宋_GB2312"/>
                <w:b w:val="0"/>
                <w:bCs w:val="0"/>
                <w:sz w:val="21"/>
                <w:szCs w:val="21"/>
              </w:rPr>
              <w:t>.报价人具有有效期内的《安全生产许可证》（投标时须提供证书扫描件，原件备查）。</w:t>
            </w:r>
          </w:p>
          <w:p w14:paraId="1629DBF0">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val="en-US" w:eastAsia="zh-CN"/>
              </w:rPr>
              <w:t>9</w:t>
            </w:r>
            <w:r>
              <w:rPr>
                <w:rFonts w:hint="eastAsia"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lang w:val="en-US" w:eastAsia="zh-CN"/>
              </w:rPr>
              <w:t>负责的</w:t>
            </w:r>
            <w:r>
              <w:rPr>
                <w:rFonts w:hint="eastAsia" w:ascii="仿宋_GB2312" w:hAnsi="仿宋_GB2312" w:eastAsia="仿宋_GB2312" w:cs="仿宋_GB2312"/>
                <w:b w:val="0"/>
                <w:bCs w:val="0"/>
                <w:sz w:val="21"/>
                <w:szCs w:val="21"/>
              </w:rPr>
              <w:t>项目经理须具备二级及以上注册消防工程师资格及有效期内的安全生产考核合格证书（B证）。</w:t>
            </w:r>
          </w:p>
        </w:tc>
      </w:tr>
      <w:tr w14:paraId="79088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821" w:hRule="atLeast"/>
          <w:tblCellSpacing w:w="0" w:type="dxa"/>
        </w:trPr>
        <w:tc>
          <w:tcPr>
            <w:tcW w:w="1085" w:type="dxa"/>
            <w:tcBorders>
              <w:bottom w:val="single" w:color="auto" w:sz="4" w:space="0"/>
            </w:tcBorders>
            <w:vAlign w:val="center"/>
          </w:tcPr>
          <w:p w14:paraId="4674A74D">
            <w:pPr>
              <w:pStyle w:val="4"/>
              <w:jc w:val="both"/>
              <w:rPr>
                <w:rFonts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rPr>
              <w:t>项目目标</w:t>
            </w:r>
          </w:p>
        </w:tc>
        <w:tc>
          <w:tcPr>
            <w:tcW w:w="9152" w:type="dxa"/>
            <w:gridSpan w:val="3"/>
            <w:tcBorders>
              <w:bottom w:val="single" w:color="auto" w:sz="4" w:space="0"/>
            </w:tcBorders>
            <w:vAlign w:val="center"/>
          </w:tcPr>
          <w:p w14:paraId="32E0A5EE">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1.根本目标：确保全院的消防设施设备满足相关消防安全要求。</w:t>
            </w:r>
          </w:p>
          <w:p w14:paraId="498B6E2B">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2.质量目标：涉及维修整改的消防配件和材料必须满足国家相关规范标准，质保期不少于1年（或者按消防安全有关规定质保期确定，两者取质保年限较长为准）。在质保期内，出现任何非人为或不可抗力导致的故障，投标人须无偿负责彻底维修（含更换配件）。</w:t>
            </w:r>
          </w:p>
          <w:p w14:paraId="7476AE05">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3.安全目标：维修整改全过程严格遵守国家安全法规及医院安全管理制度，实现“零事故、零伤害、零污染”，确保医院正常运营、医护人员及患者安全不受影响，不发生安全事故。</w:t>
            </w:r>
          </w:p>
          <w:p w14:paraId="365C2617">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4.工期目标：在确保安全与质量的前提下，自接到甲方开工通知之日起，30个日历日内完成全部维修、清理及初步验收工作。</w:t>
            </w:r>
          </w:p>
        </w:tc>
      </w:tr>
      <w:tr w14:paraId="1BB24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2186" w:hRule="atLeast"/>
          <w:tblCellSpacing w:w="0" w:type="dxa"/>
        </w:trPr>
        <w:tc>
          <w:tcPr>
            <w:tcW w:w="1085" w:type="dxa"/>
            <w:vAlign w:val="center"/>
          </w:tcPr>
          <w:p w14:paraId="52B6A933">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w:t>
            </w:r>
            <w:r>
              <w:rPr>
                <w:rStyle w:val="13"/>
                <w:rFonts w:hint="eastAsia" w:ascii="仿宋_GB2312" w:hAnsi="仿宋_GB2312" w:eastAsia="仿宋_GB2312" w:cs="仿宋_GB2312"/>
                <w:b w:val="0"/>
                <w:bCs w:val="0"/>
                <w:color w:val="0F1115"/>
                <w:sz w:val="21"/>
                <w:szCs w:val="21"/>
                <w:shd w:val="clear" w:color="auto" w:fill="FFFFFF"/>
              </w:rPr>
              <w:t>服务内容与要求</w:t>
            </w:r>
          </w:p>
        </w:tc>
        <w:tc>
          <w:tcPr>
            <w:tcW w:w="9152" w:type="dxa"/>
            <w:gridSpan w:val="3"/>
            <w:vAlign w:val="center"/>
          </w:tcPr>
          <w:p w14:paraId="4610EFE9">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一、服务内容</w:t>
            </w:r>
          </w:p>
          <w:p w14:paraId="6C3C6A7E">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本次项目为消防安全隐患整改维修，开展火灾隐患点位整治、消防设施升级改造、疏散条件优化、消防安全防控体系完善等整改作业，具体内容细化如下：</w:t>
            </w:r>
          </w:p>
          <w:p w14:paraId="2391D912">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1.维修设备合规性要求</w:t>
            </w:r>
          </w:p>
          <w:p w14:paraId="52B68001">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本次维修整改所使用的消防设施器材、维修机具、检测设备、辅助作业工具等全部仪器设备，必须严格符合现行国家规范、行业技术标准（包含但不限于《建筑设计防火规范》《消防给水及消火栓系统技术规范》《火灾自动报警系统设计规范》等）。所有设备需具备有效的产品出厂合格证、第三方质量检验合格证、消防产品认证证书、计量检定/校准证书，证书在有效期内。维修整改前需向采购方提交全套设备资质文件、合格证明文件备查，严禁使用过期、不合格、老旧故障、性能不达标的设备开展整改维修作业，确保整改我维修质量合格、设施性能稳定有效。</w:t>
            </w:r>
          </w:p>
          <w:p w14:paraId="4ED8E7B7">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2.设备权责及费用界定</w:t>
            </w:r>
          </w:p>
          <w:p w14:paraId="2E28547C">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本次维修整改所用全部设备、消防器材、辅助材料、耗材均由维修方全权负责采购、调配、运输、进场、安装、调试、保管及退场。无论设备器材价值高低、采购渠道、运输方式、设备权属，在本次项目服务周期内，设备器材进场、运输、存放、作业、退场过程中产生的所有费用、损耗、安全风险、损毁丢失责任、违章处罚及一切连带责任，均由维修方独立承担，采购方不承担任何费用、责任及相关兜底义务。</w:t>
            </w:r>
          </w:p>
          <w:p w14:paraId="5BFD9AED">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3.维修整改验收签字生效机制</w:t>
            </w:r>
          </w:p>
          <w:p w14:paraId="709DAC43">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完成现场维修整改、设施调试、隐患排查销号、成果汇总后，编制正式合规竣工验收报告。报告须经维修方具备相关专业中级及以上技术职称的在岗师审核、签字、加盖执业/项目专用章，同时由采购方现场负责人或相关管理人员签字确认后，报告方可正式生效，作为项目验收、隐患销项、交付的正式依据。无双方签字确认的验收报告视为无效成果，采购方有权不予验收、不予结算。</w:t>
            </w:r>
          </w:p>
          <w:p w14:paraId="425367B0">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4.履约标准</w:t>
            </w:r>
          </w:p>
          <w:p w14:paraId="5F1B242D">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需严格按照本项目报价文件、维修方案、投标承诺及国家、行业相关规范标准开展全过程整改作业，严格遵守项目工期要求、维修标准、服务规范，不得擅自缩减作业内容、降低维修质量、更改整改方案、拖延维修工期。全程履约匹配投标及合同约定的质量标准、人员配置、技术标准、成果要求，确保整改全过程合规、规范、达标。</w:t>
            </w:r>
          </w:p>
          <w:p w14:paraId="14D0E55E">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5.核心维修整改作业方式</w:t>
            </w:r>
          </w:p>
          <w:p w14:paraId="4968E681">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本次消防安全隐患整改统一按照规范消防维修标准作业，通过对建筑防火分区、疏散通道、安全出口、消防给水系统、火灾自动报警系统、防排烟系统、应急照明及疏散指示系统、灭火器材等消防要素全面排查整改，精准清除整改范围内违规隔断、疏散占用、设施失效、材料易燃、防控缺失等各类消防安全隐患，完成全覆盖整改、设施调试、隐患销号、功能核验、风险分级管控。整改作业遵循合规、实用、达标、全覆盖的原则，保障建筑整体消防安全条件符合现行规范要求。</w:t>
            </w:r>
          </w:p>
          <w:p w14:paraId="3544E415">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6.项目预计工作量</w:t>
            </w:r>
          </w:p>
          <w:p w14:paraId="0925143F">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本次消防实施设备问题整改覆盖总建筑面积约1.2万平方米。实际作业工作量可根据现场建筑布局、场地条件、隐患分布、采购方现场要求进行合理微调，维修方需无条件配合现场作业调整，保证整改范围无盲区、无遗漏，最终以实际合规完成的有效整改工作量为准。</w:t>
            </w:r>
          </w:p>
          <w:p w14:paraId="79F79A23">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二、总体要求</w:t>
            </w:r>
          </w:p>
          <w:p w14:paraId="1CA8BF11">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为保障本次消防设施设备问题维修整改工作质量，彻底清除场地消防安全隐患，规范全过程维修及成果交付，对维修方整改工作提出以下专项要求：</w:t>
            </w:r>
          </w:p>
          <w:p w14:paraId="7D98E967">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1.隐患研判及整改技术支持服务</w:t>
            </w:r>
          </w:p>
          <w:p w14:paraId="60D21D9F">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进场完成问题排查复核工作后，需对现场建筑条件、消防设施、隐患情况进行专业研判，精准识别场地内各类消防安全风险点、隐患区域，明确隐患位置、类型、影响范围、风险等级及危害程度。针对排查发现的所有问题，需结合现场实际及行业规范，提供针对性、可落地的专项整改方案、风险管控方案、应急处置优化建议。全程配合采购方开展隐患复核、整改验收、技术答疑、现场交底工作，协助采购方完成隐患闭环销号管控。</w:t>
            </w:r>
          </w:p>
          <w:p w14:paraId="6EFADFF4">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2.验收成果交付要求</w:t>
            </w:r>
          </w:p>
          <w:p w14:paraId="7AF8BE9F">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整改完成后，维修方需整理全套合规竣工验收成果，出具3份纸质版正式验收报告，同时配套提供电子版报告、隐蔽维修资料、消防设施检测报告、产品合格证明、现场影像资料。报告格式规范、内容完整、数据真实、结论严谨，包含项目概况、整改依据、设施参数、维修流程、整改内容、隐患销号清单、质量核验、风险评价、使用维护建议、验收结论等完整内容，完全满足项目归档、验收、监管、溯源要求，确保成果具备法律效力和行业合规性。</w:t>
            </w:r>
          </w:p>
          <w:p w14:paraId="233F7DA0">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3.维修整改质量</w:t>
            </w:r>
          </w:p>
          <w:p w14:paraId="023A05B3">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作为本项目整改维修质量、设施性能及竣工验收成果的首要责任主体，须对整改结果的真实性、准确性、完整性与有效性承担全部责任。维修过程中必须实现全面覆盖、不留盲区，杜绝漏改、少改、错判或误判，严禁任何形式的敷衍作业、质量造假及隐患隐瞒。如因整改疏漏、技术差错或成果不实，致使消防安全隐患未被消除，进而引发安全事故或造成损失，维修方须承担由此产生的全部经济责任、安全责任及相关法律责任。</w:t>
            </w:r>
          </w:p>
          <w:p w14:paraId="04DDC360">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4.前期现场踏勘确认要求</w:t>
            </w:r>
          </w:p>
          <w:p w14:paraId="0B29651D">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在项目报价、方案编制前，需自主安排专业技术人员前往项目现场开展实地踏勘，全面核查现场建筑布局、场地环境、作业条件、整改范围、周边环境、原有消防设施分布、障碍物分布等实际情况，精准核对作业范围、维修难点、风险点，结合现场实际优化整改方案，合理核定维修成本及工期。维修方一经报价、签约，即视为已完全熟知现场所有工况条件，后期不得以现场条件不符、预估偏差等理由提出加价、延期、变更服务标准等诉求。</w:t>
            </w:r>
          </w:p>
          <w:p w14:paraId="0CC52449">
            <w:pPr>
              <w:jc w:val="left"/>
              <w:rPr>
                <w:rFonts w:ascii="仿宋_GB2312" w:hAnsi="仿宋_GB2312" w:eastAsia="仿宋_GB2312" w:cs="仿宋_GB2312"/>
                <w:sz w:val="21"/>
                <w:szCs w:val="21"/>
              </w:rPr>
            </w:pPr>
            <w:r>
              <w:rPr>
                <w:rFonts w:hint="eastAsia" w:ascii="仿宋_GB2312" w:hAnsi="仿宋_GB2312" w:eastAsia="仿宋_GB2312" w:cs="仿宋_GB2312"/>
                <w:sz w:val="21"/>
                <w:szCs w:val="21"/>
              </w:rPr>
              <w:t>5.作业规范要求</w:t>
            </w:r>
          </w:p>
          <w:p w14:paraId="410B0C84">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需配备持证专业技术人员、维修人员进场作业，作业人员需熟悉消防维修规范及消防安全隐患整改标准，严格遵守现场安全管理规定，落实安全作业防护措施，做到文明维修、安全作业。隐蔽维修资料需完整留存，过程检查严谨细致，全程接受采购方监督检查，积极配合采购方的现场抽查、过程核验、成果验收工作。</w:t>
            </w:r>
          </w:p>
          <w:p w14:paraId="0EDDA985">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6.工期及售后保障要求</w:t>
            </w:r>
          </w:p>
          <w:p w14:paraId="501C4EB9">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维修方需在合同及承诺工期内完成全部现场整改、设施调试、报告编制、成果交付工作，不得无故拖延。成果交付后，需提供长期技术售后支持，针对采购方提出的报告疑问、设施复核、隐患解读、维护指导等需求，及时提供专业答疑及技术配合服务。</w:t>
            </w:r>
          </w:p>
          <w:p w14:paraId="234DD1ED">
            <w:pPr>
              <w:jc w:val="left"/>
              <w:rPr>
                <w:rFonts w:ascii="仿宋_GB2312" w:hAnsi="仿宋_GB2312" w:eastAsia="仿宋_GB2312" w:cs="仿宋_GB2312"/>
                <w:b w:val="0"/>
                <w:bCs w:val="0"/>
                <w:sz w:val="21"/>
                <w:szCs w:val="21"/>
              </w:rPr>
            </w:pPr>
            <w:r>
              <w:rPr>
                <w:rFonts w:hint="eastAsia" w:ascii="仿宋_GB2312" w:hAnsi="仿宋_GB2312" w:eastAsia="仿宋_GB2312" w:cs="仿宋_GB2312"/>
                <w:sz w:val="21"/>
                <w:szCs w:val="21"/>
              </w:rPr>
              <w:t>三、人员配备要求</w:t>
            </w:r>
          </w:p>
          <w:p w14:paraId="207BC8C5">
            <w:pPr>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报价人项目团队中须配备持有安全用电、高处作业等相应特种作业操作证书的专职安全员及作业人员；</w:t>
            </w:r>
          </w:p>
          <w:p w14:paraId="0984BB6D">
            <w:pPr>
              <w:jc w:val="left"/>
              <w:rPr>
                <w:rFonts w:ascii="仿宋_GB2312" w:hAnsi="仿宋_GB2312" w:eastAsia="仿宋_GB2312" w:cs="仿宋_GB2312"/>
                <w:b w:val="0"/>
                <w:bCs w:val="0"/>
                <w:sz w:val="21"/>
                <w:szCs w:val="21"/>
              </w:rPr>
            </w:pPr>
            <w:r>
              <w:rPr>
                <w:rFonts w:hint="eastAsia" w:ascii="仿宋_GB2312" w:hAnsi="仿宋_GB2312" w:eastAsia="仿宋_GB2312" w:cs="仿宋_GB2312"/>
                <w:sz w:val="21"/>
                <w:szCs w:val="21"/>
              </w:rPr>
              <w:t>四、业绩要求</w:t>
            </w:r>
          </w:p>
          <w:p w14:paraId="6057B6C0">
            <w:pPr>
              <w:ind w:firstLine="315" w:firstLineChars="15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报价人须提供近三年内（以合同签订时间为准）至少1项类似消防安全改造等维修项目的业绩证明（须提供合同关键页及竣工验收证明复印件）</w:t>
            </w:r>
          </w:p>
          <w:p w14:paraId="68FE5B87">
            <w:pPr>
              <w:jc w:val="left"/>
              <w:rPr>
                <w:rFonts w:ascii="仿宋_GB2312" w:hAnsi="仿宋_GB2312" w:eastAsia="仿宋_GB2312" w:cs="仿宋_GB2312"/>
                <w:b w:val="0"/>
                <w:bCs w:val="0"/>
                <w:sz w:val="21"/>
                <w:szCs w:val="21"/>
              </w:rPr>
            </w:pPr>
            <w:r>
              <w:rPr>
                <w:rFonts w:hint="eastAsia" w:ascii="仿宋_GB2312" w:hAnsi="仿宋_GB2312" w:eastAsia="仿宋_GB2312" w:cs="仿宋_GB2312"/>
                <w:color w:val="FF0000"/>
                <w:sz w:val="21"/>
                <w:szCs w:val="21"/>
              </w:rPr>
              <w:t>注：整改范围及要求详见《消防设施设备维修整改清单》</w:t>
            </w:r>
          </w:p>
        </w:tc>
      </w:tr>
      <w:tr w14:paraId="19388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0591" w:hRule="atLeast"/>
          <w:tblCellSpacing w:w="0" w:type="dxa"/>
        </w:trPr>
        <w:tc>
          <w:tcPr>
            <w:tcW w:w="1085" w:type="dxa"/>
            <w:vAlign w:val="center"/>
          </w:tcPr>
          <w:p w14:paraId="2E5DF2C1">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商务需求</w:t>
            </w:r>
          </w:p>
        </w:tc>
        <w:tc>
          <w:tcPr>
            <w:tcW w:w="9152" w:type="dxa"/>
            <w:gridSpan w:val="3"/>
            <w:vAlign w:val="center"/>
          </w:tcPr>
          <w:tbl>
            <w:tblPr>
              <w:tblStyle w:val="10"/>
              <w:tblW w:w="8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657"/>
              <w:gridCol w:w="6008"/>
            </w:tblGrid>
            <w:tr w14:paraId="712B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3" w:type="dxa"/>
                  <w:vAlign w:val="center"/>
                </w:tcPr>
                <w:p w14:paraId="5F2E4CFB">
                  <w:pPr>
                    <w:adjustRightInd w:val="0"/>
                    <w:snapToGrid w:val="0"/>
                    <w:spacing w:line="400" w:lineRule="exac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序号</w:t>
                  </w:r>
                </w:p>
              </w:tc>
              <w:tc>
                <w:tcPr>
                  <w:tcW w:w="1657" w:type="dxa"/>
                  <w:vAlign w:val="center"/>
                </w:tcPr>
                <w:p w14:paraId="0B6E853B">
                  <w:pPr>
                    <w:adjustRightInd w:val="0"/>
                    <w:snapToGrid w:val="0"/>
                    <w:spacing w:line="400" w:lineRule="exac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目录</w:t>
                  </w:r>
                </w:p>
              </w:tc>
              <w:tc>
                <w:tcPr>
                  <w:tcW w:w="6008" w:type="dxa"/>
                  <w:vAlign w:val="center"/>
                </w:tcPr>
                <w:p w14:paraId="04B00A61">
                  <w:pPr>
                    <w:adjustRightInd w:val="0"/>
                    <w:snapToGrid w:val="0"/>
                    <w:spacing w:line="400" w:lineRule="exac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商务需求</w:t>
                  </w:r>
                </w:p>
              </w:tc>
            </w:tr>
            <w:tr w14:paraId="12C4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9" w:hRule="atLeast"/>
              </w:trPr>
              <w:tc>
                <w:tcPr>
                  <w:tcW w:w="993" w:type="dxa"/>
                  <w:vAlign w:val="center"/>
                </w:tcPr>
                <w:p w14:paraId="47F16B0C">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w:t>
                  </w:r>
                </w:p>
              </w:tc>
              <w:tc>
                <w:tcPr>
                  <w:tcW w:w="1657" w:type="dxa"/>
                  <w:shd w:val="clear" w:color="auto" w:fill="auto"/>
                  <w:vAlign w:val="center"/>
                </w:tcPr>
                <w:p w14:paraId="4455159C">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报价要求</w:t>
                  </w:r>
                </w:p>
              </w:tc>
              <w:tc>
                <w:tcPr>
                  <w:tcW w:w="6008" w:type="dxa"/>
                  <w:shd w:val="clear" w:color="auto" w:fill="auto"/>
                  <w:vAlign w:val="center"/>
                </w:tcPr>
                <w:p w14:paraId="48B06B9F">
                  <w:pPr>
                    <w:jc w:val="left"/>
                    <w:rPr>
                      <w:rFonts w:ascii="仿宋_GB2312" w:hAnsi="仿宋_GB2312" w:eastAsia="仿宋_GB2312" w:cs="仿宋_GB2312"/>
                      <w:b w:val="0"/>
                      <w:bCs w:val="0"/>
                      <w:sz w:val="21"/>
                      <w:szCs w:val="21"/>
                    </w:rPr>
                  </w:pPr>
                  <w:r>
                    <w:rPr>
                      <w:rFonts w:ascii="仿宋_GB2312" w:hAnsi="仿宋_GB2312" w:eastAsia="仿宋_GB2312" w:cs="仿宋_GB2312"/>
                      <w:b w:val="0"/>
                      <w:bCs w:val="0"/>
                      <w:sz w:val="21"/>
                      <w:szCs w:val="21"/>
                    </w:rPr>
                    <w:t>1.</w:t>
                  </w:r>
                  <w:r>
                    <w:rPr>
                      <w:rFonts w:hint="eastAsia" w:ascii="仿宋_GB2312" w:hAnsi="仿宋_GB2312" w:eastAsia="仿宋_GB2312" w:cs="仿宋_GB2312"/>
                      <w:b w:val="0"/>
                      <w:bCs w:val="0"/>
                      <w:sz w:val="21"/>
                      <w:szCs w:val="21"/>
                    </w:rPr>
                    <w:t>本的量清单的投标单价按综合单价方式进行报价；</w:t>
                  </w:r>
                </w:p>
                <w:p w14:paraId="4370EEDF">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2</w:t>
                  </w:r>
                  <w:r>
                    <w:rPr>
                      <w:rFonts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rPr>
                    <w:t>报价人应根据本企业的成本自行决定报价，但不得以低于其企业成本的报价投标；</w:t>
                  </w:r>
                </w:p>
                <w:p w14:paraId="7B8926C3">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3</w:t>
                  </w:r>
                  <w:r>
                    <w:rPr>
                      <w:rFonts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rPr>
                    <w:t>报价人的投标报价，应包括成本、法定税费和相应的利润，应涵盖本项目招标范围和需求文件及合同条款上所列的各项内容中所述的全部，并以投标人在量清单中提出的综合单价或总价为依据；</w:t>
                  </w:r>
                </w:p>
                <w:p w14:paraId="1D29762C">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4</w:t>
                  </w:r>
                  <w:r>
                    <w:rPr>
                      <w:rFonts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rPr>
                    <w:t>除非采购人通过修改需求文件予以更正，否则，投标人应毫无例外地按量清单中列出的项目和数量填报综合单价和合价。投标人未填综合单价或合价的项目，在实施后，将不得以支付，并视作该项费用已包括在其它有价款的综合单价或合价内；</w:t>
                  </w:r>
                </w:p>
                <w:p w14:paraId="3248B5EE">
                  <w:p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5</w:t>
                  </w:r>
                  <w:r>
                    <w:rPr>
                      <w:rFonts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rPr>
                    <w:t>报价人应先到场地踏勘以充分了解场地的位置、情况、道路、储存空间、装卸限制及任何其它足以影响投标报价的情况，任何因忽视或误解场地情况而导致的索赔或工期延长申请将不获批准；各投标人在投标报价时，应充分考虑投标报价的风险。</w:t>
                  </w:r>
                </w:p>
                <w:p w14:paraId="13C3D25D">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6</w:t>
                  </w:r>
                  <w:r>
                    <w:rPr>
                      <w:rFonts w:ascii="仿宋_GB2312" w:hAnsi="仿宋_GB2312" w:eastAsia="仿宋_GB2312" w:cs="仿宋_GB2312"/>
                      <w:b w:val="0"/>
                      <w:bCs w:val="0"/>
                      <w:sz w:val="21"/>
                      <w:szCs w:val="21"/>
                    </w:rPr>
                    <w:t>.</w:t>
                  </w:r>
                  <w:r>
                    <w:rPr>
                      <w:rFonts w:hint="eastAsia" w:ascii="仿宋_GB2312" w:hAnsi="仿宋_GB2312" w:eastAsia="仿宋_GB2312" w:cs="仿宋_GB2312"/>
                      <w:b w:val="0"/>
                      <w:bCs w:val="0"/>
                      <w:sz w:val="21"/>
                      <w:szCs w:val="21"/>
                    </w:rPr>
                    <w:t>由报价人根据招标需求自行测算投标报价；投标人投标报价总额一经中标后，即作为中标人与采购人签订该项目合同的总价。</w:t>
                  </w:r>
                </w:p>
              </w:tc>
            </w:tr>
            <w:tr w14:paraId="170C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993" w:type="dxa"/>
                  <w:vAlign w:val="center"/>
                </w:tcPr>
                <w:p w14:paraId="7C779AD7">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2</w:t>
                  </w:r>
                </w:p>
              </w:tc>
              <w:tc>
                <w:tcPr>
                  <w:tcW w:w="1657" w:type="dxa"/>
                  <w:vAlign w:val="center"/>
                </w:tcPr>
                <w:p w14:paraId="45171902">
                  <w:pPr>
                    <w:adjustRightInd w:val="0"/>
                    <w:snapToGrid w:val="0"/>
                    <w:spacing w:line="400" w:lineRule="exact"/>
                    <w:jc w:val="both"/>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服务期</w:t>
                  </w:r>
                </w:p>
              </w:tc>
              <w:tc>
                <w:tcPr>
                  <w:tcW w:w="6008" w:type="dxa"/>
                </w:tcPr>
                <w:p w14:paraId="3C881C75">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1.工期：自合同签订且接到开工通知后30个日历日完成《消防设施设备维修整改清单》所列的维修内容，</w:t>
                  </w:r>
                </w:p>
                <w:p w14:paraId="2F4A3961">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2.售后服务期：项目售后服务1年（或者按消防安全有关规定质保期确定，两者取质保年限较长为准）；时间自项目验收合格并交付使用之日起计算。</w:t>
                  </w:r>
                </w:p>
              </w:tc>
            </w:tr>
            <w:tr w14:paraId="59F6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93" w:type="dxa"/>
                  <w:vAlign w:val="center"/>
                </w:tcPr>
                <w:p w14:paraId="63371B39">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3</w:t>
                  </w:r>
                </w:p>
              </w:tc>
              <w:tc>
                <w:tcPr>
                  <w:tcW w:w="1657" w:type="dxa"/>
                  <w:vAlign w:val="center"/>
                </w:tcPr>
                <w:p w14:paraId="6F440377">
                  <w:pPr>
                    <w:adjustRightInd w:val="0"/>
                    <w:snapToGrid w:val="0"/>
                    <w:spacing w:line="400" w:lineRule="exact"/>
                    <w:jc w:val="both"/>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预算说明</w:t>
                  </w:r>
                </w:p>
              </w:tc>
              <w:tc>
                <w:tcPr>
                  <w:tcW w:w="6008" w:type="dxa"/>
                </w:tcPr>
                <w:p w14:paraId="173C0B3C">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本项目报价不允许超过本次预算限额</w:t>
                  </w:r>
                </w:p>
              </w:tc>
            </w:tr>
            <w:tr w14:paraId="3191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93" w:type="dxa"/>
                  <w:vAlign w:val="center"/>
                </w:tcPr>
                <w:p w14:paraId="4647CCF6">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4</w:t>
                  </w:r>
                </w:p>
              </w:tc>
              <w:tc>
                <w:tcPr>
                  <w:tcW w:w="1657" w:type="dxa"/>
                  <w:vAlign w:val="center"/>
                </w:tcPr>
                <w:p w14:paraId="4C629244">
                  <w:pPr>
                    <w:adjustRightInd w:val="0"/>
                    <w:snapToGrid w:val="0"/>
                    <w:spacing w:line="400" w:lineRule="exact"/>
                    <w:jc w:val="both"/>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项目服务地点</w:t>
                  </w:r>
                </w:p>
              </w:tc>
              <w:tc>
                <w:tcPr>
                  <w:tcW w:w="6008" w:type="dxa"/>
                </w:tcPr>
                <w:p w14:paraId="3656839F">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南方医科大学深圳口腔医院（坪山）</w:t>
                  </w:r>
                </w:p>
              </w:tc>
            </w:tr>
            <w:tr w14:paraId="18C2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93" w:type="dxa"/>
                  <w:vAlign w:val="center"/>
                </w:tcPr>
                <w:p w14:paraId="71A89F56">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5</w:t>
                  </w:r>
                </w:p>
              </w:tc>
              <w:tc>
                <w:tcPr>
                  <w:tcW w:w="1657" w:type="dxa"/>
                  <w:vAlign w:val="center"/>
                </w:tcPr>
                <w:p w14:paraId="24189155">
                  <w:pPr>
                    <w:adjustRightInd w:val="0"/>
                    <w:snapToGrid w:val="0"/>
                    <w:spacing w:line="400" w:lineRule="exact"/>
                    <w:jc w:val="both"/>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关于付款</w:t>
                  </w:r>
                </w:p>
              </w:tc>
              <w:tc>
                <w:tcPr>
                  <w:tcW w:w="6008" w:type="dxa"/>
                  <w:vAlign w:val="center"/>
                </w:tcPr>
                <w:p w14:paraId="6A1109D3">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合同签订且项目验收后支付95%，余款5%作为履约保证金。</w:t>
                  </w:r>
                </w:p>
              </w:tc>
            </w:tr>
            <w:tr w14:paraId="7D25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993" w:type="dxa"/>
                  <w:vAlign w:val="center"/>
                </w:tcPr>
                <w:p w14:paraId="40CC2FC1">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6</w:t>
                  </w:r>
                </w:p>
              </w:tc>
              <w:tc>
                <w:tcPr>
                  <w:tcW w:w="1657" w:type="dxa"/>
                  <w:vAlign w:val="center"/>
                </w:tcPr>
                <w:p w14:paraId="7F0F3C3F">
                  <w:pPr>
                    <w:adjustRightInd w:val="0"/>
                    <w:snapToGrid w:val="0"/>
                    <w:spacing w:line="400" w:lineRule="exact"/>
                    <w:jc w:val="both"/>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关于验收</w:t>
                  </w:r>
                </w:p>
              </w:tc>
              <w:tc>
                <w:tcPr>
                  <w:tcW w:w="6008" w:type="dxa"/>
                </w:tcPr>
                <w:p w14:paraId="76A7362B">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按工期要求完成项目维修服务后，承建方提出验收要求，采购方5个工作日内进行响应，并开展验收工作。</w:t>
                  </w:r>
                </w:p>
              </w:tc>
            </w:tr>
            <w:tr w14:paraId="6201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993" w:type="dxa"/>
                  <w:shd w:val="clear" w:color="auto" w:fill="auto"/>
                  <w:vAlign w:val="center"/>
                </w:tcPr>
                <w:p w14:paraId="051AC807">
                  <w:pPr>
                    <w:adjustRightInd w:val="0"/>
                    <w:snapToGrid w:val="0"/>
                    <w:spacing w:line="400" w:lineRule="exact"/>
                    <w:ind w:firstLine="420" w:firstLineChars="200"/>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7</w:t>
                  </w:r>
                </w:p>
              </w:tc>
              <w:tc>
                <w:tcPr>
                  <w:tcW w:w="1657" w:type="dxa"/>
                  <w:shd w:val="clear" w:color="auto" w:fill="auto"/>
                  <w:vAlign w:val="center"/>
                </w:tcPr>
                <w:p w14:paraId="065F8205">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其他要求</w:t>
                  </w:r>
                </w:p>
              </w:tc>
              <w:tc>
                <w:tcPr>
                  <w:tcW w:w="6008" w:type="dxa"/>
                  <w:shd w:val="clear" w:color="auto" w:fill="auto"/>
                  <w:vAlign w:val="center"/>
                </w:tcPr>
                <w:p w14:paraId="64573E52">
                  <w:pPr>
                    <w:adjustRightInd w:val="0"/>
                    <w:snapToGrid w:val="0"/>
                    <w:spacing w:line="400" w:lineRule="exact"/>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投标人必须承担为完成本次维修服务所涉及的货物运输、安装等义务。</w:t>
                  </w:r>
                </w:p>
              </w:tc>
            </w:tr>
          </w:tbl>
          <w:p w14:paraId="0075DD14">
            <w:pPr>
              <w:rPr>
                <w:rFonts w:ascii="仿宋_GB2312" w:hAnsi="仿宋_GB2312" w:eastAsia="仿宋_GB2312" w:cs="仿宋_GB2312"/>
                <w:b w:val="0"/>
                <w:bCs w:val="0"/>
                <w:sz w:val="21"/>
                <w:szCs w:val="21"/>
              </w:rPr>
            </w:pPr>
          </w:p>
        </w:tc>
      </w:tr>
      <w:tr w14:paraId="1DD0C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121" w:hRule="atLeast"/>
          <w:tblCellSpacing w:w="0" w:type="dxa"/>
        </w:trPr>
        <w:tc>
          <w:tcPr>
            <w:tcW w:w="1085" w:type="dxa"/>
            <w:vAlign w:val="center"/>
          </w:tcPr>
          <w:p w14:paraId="168D7E22">
            <w:pPr>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注意事项</w:t>
            </w:r>
          </w:p>
        </w:tc>
        <w:tc>
          <w:tcPr>
            <w:tcW w:w="9152" w:type="dxa"/>
            <w:gridSpan w:val="3"/>
            <w:vAlign w:val="center"/>
          </w:tcPr>
          <w:p w14:paraId="4DA32A37">
            <w:pPr>
              <w:numPr>
                <w:ilvl w:val="0"/>
                <w:numId w:val="2"/>
              </w:num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需求中打★号的为必须满足项，报价方需在报价文件中做出承诺满足该要求，若报价方中标后无法执行，采购方有权撤销报价方的中标资质，撤销已签订的合同，并追究报价方的法律责任。</w:t>
            </w:r>
          </w:p>
          <w:p w14:paraId="7681C06E">
            <w:pPr>
              <w:numPr>
                <w:ilvl w:val="0"/>
                <w:numId w:val="2"/>
              </w:numPr>
              <w:jc w:val="left"/>
              <w:rPr>
                <w:rFonts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定标方式：满足本项目实质性需求以及项目目标的前提下，低价中标。</w:t>
            </w:r>
          </w:p>
        </w:tc>
      </w:tr>
    </w:tbl>
    <w:p w14:paraId="4307519F"/>
    <w:p w14:paraId="766ADB57"/>
    <w:p w14:paraId="1F7F0600"/>
    <w:p w14:paraId="7B523CA5"/>
    <w:p w14:paraId="7FDC09E7"/>
    <w:p w14:paraId="11BA8FDA">
      <w:bookmarkStart w:id="6" w:name="_GoBack"/>
      <w:bookmarkEnd w:id="6"/>
    </w:p>
    <w:p w14:paraId="5D021547"/>
    <w:tbl>
      <w:tblPr>
        <w:tblStyle w:val="10"/>
        <w:tblW w:w="10679" w:type="dxa"/>
        <w:jc w:val="center"/>
        <w:tblLayout w:type="autofit"/>
        <w:tblCellMar>
          <w:top w:w="0" w:type="dxa"/>
          <w:left w:w="108" w:type="dxa"/>
          <w:bottom w:w="0" w:type="dxa"/>
          <w:right w:w="108" w:type="dxa"/>
        </w:tblCellMar>
      </w:tblPr>
      <w:tblGrid>
        <w:gridCol w:w="631"/>
        <w:gridCol w:w="1100"/>
        <w:gridCol w:w="696"/>
        <w:gridCol w:w="1504"/>
        <w:gridCol w:w="2136"/>
        <w:gridCol w:w="1763"/>
        <w:gridCol w:w="2849"/>
      </w:tblGrid>
      <w:tr w14:paraId="65156612">
        <w:trPr>
          <w:tblHeader/>
          <w:jc w:val="center"/>
        </w:trPr>
        <w:tc>
          <w:tcPr>
            <w:tcW w:w="1067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EE6F">
            <w:pPr>
              <w:snapToGrid w:val="0"/>
              <w:textAlignment w:val="center"/>
              <w:rPr>
                <w:rFonts w:cs="宋体"/>
                <w:sz w:val="28"/>
                <w:szCs w:val="28"/>
              </w:rPr>
            </w:pPr>
            <w:bookmarkStart w:id="4" w:name="OLE_LINK23"/>
            <w:bookmarkStart w:id="5" w:name="OLE_LINK22"/>
            <w:r>
              <w:rPr>
                <w:rFonts w:hint="eastAsia" w:cs="宋体"/>
                <w:sz w:val="28"/>
                <w:szCs w:val="28"/>
                <w:lang w:bidi="ar"/>
              </w:rPr>
              <w:t>消防设施设备维修整改清单</w:t>
            </w:r>
            <w:bookmarkEnd w:id="4"/>
            <w:bookmarkEnd w:id="5"/>
          </w:p>
        </w:tc>
      </w:tr>
      <w:tr w14:paraId="077DC007">
        <w:tblPrEx>
          <w:tblCellMar>
            <w:top w:w="0" w:type="dxa"/>
            <w:left w:w="108" w:type="dxa"/>
            <w:bottom w:w="0" w:type="dxa"/>
            <w:right w:w="108" w:type="dxa"/>
          </w:tblCellMar>
        </w:tblPrEx>
        <w:trPr>
          <w:tblHeade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9169">
            <w:pPr>
              <w:snapToGrid w:val="0"/>
              <w:textAlignment w:val="center"/>
              <w:rPr>
                <w:rFonts w:cs="宋体"/>
              </w:rPr>
            </w:pPr>
            <w:r>
              <w:rPr>
                <w:rFonts w:hint="eastAsia" w:cs="宋体"/>
                <w:lang w:bidi="ar"/>
              </w:rPr>
              <w:t>序号</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09013">
            <w:pPr>
              <w:snapToGrid w:val="0"/>
              <w:textAlignment w:val="center"/>
              <w:rPr>
                <w:rFonts w:cs="宋体"/>
              </w:rPr>
            </w:pPr>
            <w:r>
              <w:rPr>
                <w:rFonts w:hint="eastAsia" w:cs="宋体"/>
                <w:lang w:bidi="ar"/>
              </w:rPr>
              <w:t>系统类别</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6DF9">
            <w:pPr>
              <w:snapToGrid w:val="0"/>
              <w:textAlignment w:val="center"/>
              <w:rPr>
                <w:rFonts w:cs="宋体"/>
              </w:rPr>
            </w:pPr>
            <w:r>
              <w:rPr>
                <w:rFonts w:hint="eastAsia" w:cs="宋体"/>
                <w:lang w:bidi="ar"/>
              </w:rPr>
              <w:t>现场位置</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5BA9">
            <w:pPr>
              <w:snapToGrid w:val="0"/>
              <w:textAlignment w:val="center"/>
              <w:rPr>
                <w:rFonts w:cs="宋体"/>
              </w:rPr>
            </w:pPr>
            <w:r>
              <w:rPr>
                <w:rFonts w:hint="eastAsia" w:cs="宋体"/>
                <w:lang w:bidi="ar"/>
              </w:rPr>
              <w:t>问题描述</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769D">
            <w:pPr>
              <w:snapToGrid w:val="0"/>
              <w:textAlignment w:val="center"/>
              <w:rPr>
                <w:rFonts w:cs="宋体"/>
              </w:rPr>
            </w:pPr>
            <w:r>
              <w:rPr>
                <w:rFonts w:hint="eastAsia" w:cs="宋体"/>
                <w:lang w:bidi="ar"/>
              </w:rPr>
              <w:t>图片</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4295">
            <w:pPr>
              <w:snapToGrid w:val="0"/>
              <w:textAlignment w:val="center"/>
              <w:rPr>
                <w:rFonts w:cs="宋体"/>
              </w:rPr>
            </w:pPr>
            <w:r>
              <w:rPr>
                <w:rFonts w:hint="eastAsia" w:cs="宋体"/>
                <w:lang w:bidi="ar"/>
              </w:rPr>
              <w:t>整改措施</w:t>
            </w:r>
          </w:p>
        </w:tc>
        <w:tc>
          <w:tcPr>
            <w:tcW w:w="2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1CD7">
            <w:pPr>
              <w:snapToGrid w:val="0"/>
              <w:textAlignment w:val="center"/>
              <w:rPr>
                <w:rFonts w:cs="宋体"/>
              </w:rPr>
            </w:pPr>
            <w:r>
              <w:rPr>
                <w:rFonts w:hint="eastAsia" w:cs="宋体"/>
                <w:lang w:bidi="ar"/>
              </w:rPr>
              <w:t>规范设置要求</w:t>
            </w:r>
          </w:p>
        </w:tc>
      </w:tr>
      <w:tr w14:paraId="1CF0CD83">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5E1B8">
            <w:pPr>
              <w:snapToGrid w:val="0"/>
              <w:textAlignment w:val="center"/>
              <w:rPr>
                <w:rFonts w:cs="宋体"/>
              </w:rPr>
            </w:pPr>
            <w:r>
              <w:rPr>
                <w:rFonts w:hint="eastAsia" w:cs="宋体"/>
                <w:lang w:bidi="ar"/>
              </w:rPr>
              <w:t>1</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2D633">
            <w:pPr>
              <w:snapToGrid w:val="0"/>
              <w:textAlignment w:val="center"/>
              <w:rPr>
                <w:rFonts w:cs="宋体"/>
                <w:sz w:val="18"/>
                <w:szCs w:val="18"/>
              </w:rPr>
            </w:pPr>
            <w:r>
              <w:rPr>
                <w:rFonts w:hint="eastAsia" w:cs="宋体"/>
                <w:sz w:val="18"/>
                <w:szCs w:val="18"/>
                <w:lang w:bidi="ar"/>
              </w:rPr>
              <w:t>火灾报警系统</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94231">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DAA0">
            <w:pPr>
              <w:snapToGrid w:val="0"/>
              <w:textAlignment w:val="center"/>
              <w:rPr>
                <w:rFonts w:cs="宋体"/>
                <w:sz w:val="18"/>
                <w:szCs w:val="18"/>
              </w:rPr>
            </w:pPr>
            <w:r>
              <w:rPr>
                <w:rFonts w:hint="eastAsia" w:cs="宋体"/>
                <w:sz w:val="18"/>
                <w:szCs w:val="18"/>
                <w:lang w:bidi="ar"/>
              </w:rPr>
              <w:t>地下室11号车位附近3个设备房（2个污水设备房和正负压机房）缺烟感报警，纯水房烟感位置不对</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15B67">
            <w:pPr>
              <w:snapToGrid w:val="0"/>
              <w:textAlignment w:val="center"/>
              <w:rPr>
                <w:rFonts w:cs="宋体"/>
                <w:sz w:val="18"/>
                <w:szCs w:val="18"/>
              </w:rPr>
            </w:pPr>
            <w:r>
              <w:rPr>
                <w:rFonts w:hint="eastAsia" w:cs="宋体"/>
                <w:sz w:val="18"/>
                <w:szCs w:val="18"/>
              </w:rPr>
              <w:drawing>
                <wp:inline distT="0" distB="0" distL="114300" distR="114300">
                  <wp:extent cx="952500" cy="126682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4"/>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59A79">
            <w:pPr>
              <w:snapToGrid w:val="0"/>
              <w:jc w:val="left"/>
              <w:textAlignment w:val="center"/>
              <w:rPr>
                <w:rFonts w:cs="宋体"/>
                <w:sz w:val="16"/>
                <w:szCs w:val="16"/>
              </w:rPr>
            </w:pPr>
            <w:r>
              <w:rPr>
                <w:rFonts w:hint="eastAsia" w:cs="宋体"/>
                <w:sz w:val="16"/>
                <w:szCs w:val="16"/>
                <w:lang w:bidi="ar"/>
              </w:rPr>
              <w:t>3个设备房间各增加1个烟感并接入中控主机、纯水房烟感移位。</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6B0AD">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 探测区域的每个房间应至少设置一只火灾探测器。</w:t>
            </w:r>
          </w:p>
        </w:tc>
      </w:tr>
      <w:tr w14:paraId="140D486D">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2F9F3">
            <w:pPr>
              <w:snapToGrid w:val="0"/>
              <w:textAlignment w:val="center"/>
              <w:rPr>
                <w:rFonts w:cs="宋体"/>
              </w:rPr>
            </w:pPr>
            <w:r>
              <w:rPr>
                <w:rFonts w:hint="eastAsia" w:cs="宋体"/>
                <w:lang w:bidi="ar"/>
              </w:rPr>
              <w:t>2</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98AD5">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1008C">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FC77F">
            <w:pPr>
              <w:snapToGrid w:val="0"/>
              <w:jc w:val="left"/>
              <w:textAlignment w:val="center"/>
              <w:rPr>
                <w:rFonts w:cs="宋体"/>
                <w:sz w:val="18"/>
                <w:szCs w:val="18"/>
              </w:rPr>
            </w:pPr>
            <w:r>
              <w:rPr>
                <w:rFonts w:hint="eastAsia" w:cs="宋体"/>
                <w:sz w:val="18"/>
                <w:szCs w:val="18"/>
                <w:lang w:bidi="ar"/>
              </w:rPr>
              <w:t>6条主管道的压力表安装位置错误</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5BF1">
            <w:pPr>
              <w:snapToGrid w:val="0"/>
              <w:textAlignment w:val="center"/>
              <w:rPr>
                <w:rFonts w:cs="宋体"/>
                <w:sz w:val="18"/>
                <w:szCs w:val="18"/>
              </w:rPr>
            </w:pPr>
            <w:r>
              <w:rPr>
                <w:rFonts w:hint="eastAsia" w:cs="宋体"/>
                <w:sz w:val="18"/>
                <w:szCs w:val="18"/>
              </w:rPr>
              <w:drawing>
                <wp:inline distT="0" distB="0" distL="114300" distR="114300">
                  <wp:extent cx="952500" cy="1266825"/>
                  <wp:effectExtent l="0" t="0" r="0" b="952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705B9">
            <w:pPr>
              <w:snapToGrid w:val="0"/>
              <w:jc w:val="left"/>
              <w:textAlignment w:val="center"/>
              <w:rPr>
                <w:rFonts w:cs="宋体"/>
                <w:sz w:val="18"/>
                <w:szCs w:val="18"/>
              </w:rPr>
            </w:pPr>
            <w:r>
              <w:rPr>
                <w:rFonts w:hint="eastAsia" w:cs="宋体"/>
                <w:sz w:val="18"/>
                <w:szCs w:val="18"/>
                <w:lang w:bidi="ar"/>
              </w:rPr>
              <w:t>将6条主管道的压力表重新装到正确部位</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D92E">
            <w:pPr>
              <w:snapToGrid w:val="0"/>
              <w:jc w:val="left"/>
              <w:textAlignment w:val="center"/>
              <w:rPr>
                <w:rFonts w:cs="宋体"/>
                <w:sz w:val="18"/>
                <w:szCs w:val="18"/>
              </w:rPr>
            </w:pPr>
            <w:r>
              <w:rPr>
                <w:rFonts w:hint="eastAsia" w:cs="宋体"/>
                <w:sz w:val="18"/>
                <w:szCs w:val="18"/>
                <w:lang w:bidi="ar"/>
              </w:rPr>
              <w:t>消防给水及消火栓系统技术规范 GB50974-2014 5.1 消防水泵5.1.17 消防水泵吸水管和出水管上应设置压力表，</w:t>
            </w:r>
          </w:p>
        </w:tc>
      </w:tr>
      <w:tr w14:paraId="56C9DFC6">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A8480">
            <w:pPr>
              <w:snapToGrid w:val="0"/>
              <w:textAlignment w:val="center"/>
              <w:rPr>
                <w:rFonts w:cs="宋体"/>
              </w:rPr>
            </w:pPr>
            <w:r>
              <w:rPr>
                <w:rFonts w:hint="eastAsia" w:cs="宋体"/>
                <w:lang w:bidi="ar"/>
              </w:rPr>
              <w:t>3</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A2012">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89A06">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20F9F">
            <w:pPr>
              <w:snapToGrid w:val="0"/>
              <w:textAlignment w:val="center"/>
              <w:rPr>
                <w:rFonts w:cs="宋体"/>
                <w:sz w:val="18"/>
                <w:szCs w:val="18"/>
              </w:rPr>
            </w:pPr>
            <w:r>
              <w:rPr>
                <w:rFonts w:hint="eastAsia" w:cs="宋体"/>
                <w:sz w:val="18"/>
                <w:szCs w:val="18"/>
                <w:lang w:bidi="ar"/>
              </w:rPr>
              <w:t>消防水泵房4个水锤消除器损坏失效</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FAF70">
            <w:pPr>
              <w:snapToGrid w:val="0"/>
              <w:textAlignment w:val="center"/>
              <w:rPr>
                <w:rFonts w:cs="宋体"/>
                <w:sz w:val="18"/>
                <w:szCs w:val="18"/>
              </w:rPr>
            </w:pPr>
            <w:r>
              <w:rPr>
                <w:rFonts w:hint="eastAsia" w:cs="宋体"/>
                <w:sz w:val="18"/>
                <w:szCs w:val="18"/>
              </w:rPr>
              <w:drawing>
                <wp:inline distT="0" distB="0" distL="114300" distR="114300">
                  <wp:extent cx="952500" cy="1266825"/>
                  <wp:effectExtent l="0" t="0" r="0" b="9525"/>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09047">
            <w:pPr>
              <w:snapToGrid w:val="0"/>
              <w:jc w:val="left"/>
              <w:textAlignment w:val="center"/>
              <w:rPr>
                <w:rFonts w:cs="宋体"/>
                <w:sz w:val="18"/>
                <w:szCs w:val="18"/>
              </w:rPr>
            </w:pPr>
            <w:r>
              <w:rPr>
                <w:rFonts w:hint="eastAsia" w:cs="宋体"/>
                <w:sz w:val="18"/>
                <w:szCs w:val="18"/>
                <w:lang w:bidi="ar"/>
              </w:rPr>
              <w:t>更换4个水锤消除器及附属配件</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01F97">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72245CCE">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DF782">
            <w:pPr>
              <w:snapToGrid w:val="0"/>
              <w:textAlignment w:val="center"/>
              <w:rPr>
                <w:rFonts w:cs="宋体"/>
              </w:rPr>
            </w:pPr>
            <w:r>
              <w:rPr>
                <w:rFonts w:hint="eastAsia" w:cs="宋体"/>
                <w:lang w:bidi="ar"/>
              </w:rPr>
              <w:t>4</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420E0">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3C9E4">
            <w:pPr>
              <w:snapToGrid w:val="0"/>
              <w:textAlignment w:val="center"/>
              <w:rPr>
                <w:rFonts w:cs="宋体"/>
                <w:sz w:val="18"/>
                <w:szCs w:val="18"/>
              </w:rPr>
            </w:pPr>
            <w:r>
              <w:rPr>
                <w:rFonts w:hint="eastAsia" w:cs="宋体"/>
                <w:sz w:val="18"/>
                <w:szCs w:val="18"/>
                <w:lang w:bidi="ar"/>
              </w:rPr>
              <w:t>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43398">
            <w:pPr>
              <w:snapToGrid w:val="0"/>
              <w:textAlignment w:val="center"/>
              <w:rPr>
                <w:rFonts w:cs="宋体"/>
                <w:sz w:val="18"/>
                <w:szCs w:val="18"/>
              </w:rPr>
            </w:pPr>
            <w:r>
              <w:rPr>
                <w:rFonts w:hint="eastAsia" w:cs="宋体"/>
                <w:sz w:val="18"/>
                <w:szCs w:val="18"/>
                <w:lang w:bidi="ar"/>
              </w:rPr>
              <w:t>1层中控室未加装天面高位水箱液位显示器</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6884E">
            <w:pPr>
              <w:snapToGrid w:val="0"/>
              <w:textAlignment w:val="center"/>
              <w:rPr>
                <w:rFonts w:cs="宋体"/>
              </w:rPr>
            </w:pPr>
            <w:r>
              <w:rPr>
                <w:rFonts w:hint="eastAsia" w:cs="宋体"/>
                <w:lang w:bidi="ar"/>
              </w:rPr>
              <w:t>/</w:t>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C5527">
            <w:pPr>
              <w:snapToGrid w:val="0"/>
              <w:rPr>
                <w:rFonts w:cs="宋体"/>
                <w:sz w:val="18"/>
                <w:szCs w:val="18"/>
              </w:rPr>
            </w:pP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616A0">
            <w:pPr>
              <w:snapToGrid w:val="0"/>
              <w:jc w:val="left"/>
              <w:textAlignment w:val="center"/>
              <w:rPr>
                <w:rFonts w:cs="宋体"/>
                <w:sz w:val="18"/>
                <w:szCs w:val="18"/>
              </w:rPr>
            </w:pPr>
            <w:r>
              <w:rPr>
                <w:rFonts w:hint="eastAsia" w:cs="宋体"/>
                <w:sz w:val="18"/>
                <w:szCs w:val="18"/>
                <w:lang w:bidi="ar"/>
              </w:rPr>
              <w:t>消防给水及消火栓系统技术规范 GB50974-2014 &gt;11 控制与操作，11.0.7 消防控制室或值班室，应具有下列控制和显示功能：  3 消防控制柜或控制盘应能显示消防水池、高位消防水箱等水源的高水位、低水位报警信号，以及正常水位。</w:t>
            </w:r>
          </w:p>
        </w:tc>
      </w:tr>
      <w:tr w14:paraId="307A0EA3">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BFCBE">
            <w:pPr>
              <w:snapToGrid w:val="0"/>
              <w:textAlignment w:val="center"/>
              <w:rPr>
                <w:rFonts w:cs="宋体"/>
              </w:rPr>
            </w:pPr>
            <w:r>
              <w:rPr>
                <w:rFonts w:hint="eastAsia" w:cs="宋体"/>
                <w:lang w:bidi="ar"/>
              </w:rPr>
              <w:t>5</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330E">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10E48">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DF0D4">
            <w:pPr>
              <w:snapToGrid w:val="0"/>
              <w:textAlignment w:val="center"/>
              <w:rPr>
                <w:rFonts w:cs="宋体"/>
                <w:sz w:val="18"/>
                <w:szCs w:val="18"/>
              </w:rPr>
            </w:pPr>
            <w:r>
              <w:rPr>
                <w:rFonts w:hint="eastAsia" w:cs="宋体"/>
                <w:sz w:val="18"/>
                <w:szCs w:val="18"/>
                <w:lang w:bidi="ar"/>
              </w:rPr>
              <w:t>消防水泵房1处自动补水阀阀门被关闭，浮球阀故障</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B0B0D">
            <w:pPr>
              <w:snapToGrid w:val="0"/>
              <w:textAlignment w:val="center"/>
              <w:rPr>
                <w:rFonts w:cs="宋体"/>
                <w:sz w:val="18"/>
                <w:szCs w:val="18"/>
              </w:rPr>
            </w:pPr>
            <w:r>
              <w:rPr>
                <w:rFonts w:hint="eastAsia" w:cs="宋体"/>
                <w:sz w:val="18"/>
                <w:szCs w:val="18"/>
              </w:rPr>
              <w:drawing>
                <wp:inline distT="0" distB="0" distL="114300" distR="114300">
                  <wp:extent cx="1209675" cy="904875"/>
                  <wp:effectExtent l="0" t="0" r="9525" b="9525"/>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7"/>
                          <a:stretch>
                            <a:fillRect/>
                          </a:stretch>
                        </pic:blipFill>
                        <pic:spPr>
                          <a:xfrm>
                            <a:off x="0" y="0"/>
                            <a:ext cx="1209675" cy="90487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8C999">
            <w:pPr>
              <w:snapToGrid w:val="0"/>
              <w:jc w:val="left"/>
              <w:textAlignment w:val="center"/>
              <w:rPr>
                <w:rFonts w:cs="宋体"/>
                <w:sz w:val="18"/>
                <w:szCs w:val="18"/>
              </w:rPr>
            </w:pPr>
            <w:r>
              <w:rPr>
                <w:rFonts w:hint="eastAsia" w:cs="宋体"/>
                <w:sz w:val="18"/>
                <w:szCs w:val="18"/>
                <w:lang w:bidi="ar"/>
              </w:rPr>
              <w:t>更换补水阀门及其组件</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3E9E">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725CB74F">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D8C61">
            <w:pPr>
              <w:snapToGrid w:val="0"/>
              <w:textAlignment w:val="center"/>
              <w:rPr>
                <w:rFonts w:cs="宋体"/>
              </w:rPr>
            </w:pPr>
            <w:r>
              <w:rPr>
                <w:rFonts w:hint="eastAsia" w:cs="宋体"/>
                <w:lang w:bidi="ar"/>
              </w:rPr>
              <w:t>6</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42294">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C7B70">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41ED0">
            <w:pPr>
              <w:snapToGrid w:val="0"/>
              <w:textAlignment w:val="center"/>
              <w:rPr>
                <w:rFonts w:cs="宋体"/>
                <w:sz w:val="18"/>
                <w:szCs w:val="18"/>
              </w:rPr>
            </w:pPr>
            <w:r>
              <w:rPr>
                <w:rFonts w:hint="eastAsia" w:cs="宋体"/>
                <w:sz w:val="18"/>
                <w:szCs w:val="18"/>
                <w:lang w:bidi="ar"/>
              </w:rPr>
              <w:t>消防水池入口处报警模块渗水</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585E">
            <w:pPr>
              <w:snapToGrid w:val="0"/>
              <w:textAlignment w:val="center"/>
              <w:rPr>
                <w:rFonts w:cs="宋体"/>
                <w:sz w:val="18"/>
                <w:szCs w:val="18"/>
              </w:rPr>
            </w:pPr>
            <w:r>
              <w:rPr>
                <w:rFonts w:hint="eastAsia" w:cs="宋体"/>
                <w:sz w:val="18"/>
                <w:szCs w:val="18"/>
              </w:rPr>
              <w:drawing>
                <wp:inline distT="0" distB="0" distL="114300" distR="114300">
                  <wp:extent cx="1209675" cy="904875"/>
                  <wp:effectExtent l="0" t="0" r="9525" b="9525"/>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8"/>
                          <a:stretch>
                            <a:fillRect/>
                          </a:stretch>
                        </pic:blipFill>
                        <pic:spPr>
                          <a:xfrm>
                            <a:off x="0" y="0"/>
                            <a:ext cx="1209675" cy="90487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EE3D1">
            <w:pPr>
              <w:snapToGrid w:val="0"/>
              <w:jc w:val="left"/>
              <w:textAlignment w:val="center"/>
              <w:rPr>
                <w:rFonts w:cs="宋体"/>
                <w:sz w:val="18"/>
                <w:szCs w:val="18"/>
              </w:rPr>
            </w:pPr>
            <w:r>
              <w:rPr>
                <w:rFonts w:hint="eastAsia" w:cs="宋体"/>
                <w:sz w:val="18"/>
                <w:szCs w:val="18"/>
                <w:lang w:bidi="ar"/>
              </w:rPr>
              <w:t>移位安装</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E1BCC">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6B873DC0">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6093D">
            <w:pPr>
              <w:snapToGrid w:val="0"/>
              <w:textAlignment w:val="center"/>
              <w:rPr>
                <w:rFonts w:cs="宋体"/>
              </w:rPr>
            </w:pPr>
            <w:r>
              <w:rPr>
                <w:rFonts w:hint="eastAsia" w:cs="宋体"/>
                <w:lang w:bidi="ar"/>
              </w:rPr>
              <w:t>7</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7A8EB">
            <w:pPr>
              <w:snapToGrid w:val="0"/>
              <w:textAlignment w:val="center"/>
              <w:rPr>
                <w:rFonts w:cs="宋体"/>
                <w:sz w:val="18"/>
                <w:szCs w:val="18"/>
              </w:rPr>
            </w:pPr>
            <w:r>
              <w:rPr>
                <w:rFonts w:hint="eastAsia" w:cs="宋体"/>
                <w:sz w:val="18"/>
                <w:szCs w:val="18"/>
                <w:lang w:bidi="ar"/>
              </w:rPr>
              <w:t>防火分隔</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56C4B">
            <w:pPr>
              <w:snapToGrid w:val="0"/>
              <w:textAlignment w:val="center"/>
              <w:rPr>
                <w:rFonts w:cs="宋体"/>
                <w:sz w:val="18"/>
                <w:szCs w:val="18"/>
              </w:rPr>
            </w:pPr>
            <w:r>
              <w:rPr>
                <w:rFonts w:hint="eastAsia" w:cs="宋体"/>
                <w:sz w:val="18"/>
                <w:szCs w:val="18"/>
                <w:lang w:bidi="ar"/>
              </w:rPr>
              <w:t>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D061B">
            <w:pPr>
              <w:snapToGrid w:val="0"/>
              <w:textAlignment w:val="center"/>
              <w:rPr>
                <w:rFonts w:cs="宋体"/>
                <w:sz w:val="18"/>
                <w:szCs w:val="18"/>
              </w:rPr>
            </w:pPr>
            <w:r>
              <w:rPr>
                <w:rFonts w:hint="eastAsia" w:cs="宋体"/>
                <w:sz w:val="18"/>
                <w:szCs w:val="18"/>
                <w:lang w:bidi="ar"/>
              </w:rPr>
              <w:t>厨房内卷帘门未与消防主机联机控制</w:t>
            </w:r>
          </w:p>
        </w:tc>
        <w:tc>
          <w:tcPr>
            <w:tcW w:w="21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E5338">
            <w:pPr>
              <w:snapToGrid w:val="0"/>
              <w:textAlignment w:val="center"/>
              <w:rPr>
                <w:rFonts w:cs="宋体"/>
              </w:rPr>
            </w:pPr>
            <w:r>
              <w:rPr>
                <w:rFonts w:hint="eastAsia" w:cs="宋体"/>
              </w:rPr>
              <w:drawing>
                <wp:inline distT="0" distB="0" distL="114300" distR="114300">
                  <wp:extent cx="1209675" cy="1609725"/>
                  <wp:effectExtent l="0" t="0" r="9525" b="9525"/>
                  <wp:docPr id="1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61"/>
                          <pic:cNvPicPr>
                            <a:picLocks noChangeAspect="1"/>
                          </pic:cNvPicPr>
                        </pic:nvPicPr>
                        <pic:blipFill>
                          <a:blip r:embed="rId9"/>
                          <a:stretch>
                            <a:fillRect/>
                          </a:stretch>
                        </pic:blipFill>
                        <pic:spPr>
                          <a:xfrm>
                            <a:off x="0" y="0"/>
                            <a:ext cx="1209675" cy="16097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C762C">
            <w:pPr>
              <w:snapToGrid w:val="0"/>
              <w:jc w:val="left"/>
              <w:textAlignment w:val="center"/>
              <w:rPr>
                <w:rFonts w:cs="宋体"/>
                <w:sz w:val="18"/>
                <w:szCs w:val="18"/>
              </w:rPr>
            </w:pPr>
            <w:r>
              <w:rPr>
                <w:rFonts w:hint="eastAsia" w:cs="宋体"/>
                <w:sz w:val="18"/>
                <w:szCs w:val="18"/>
                <w:lang w:bidi="ar"/>
              </w:rPr>
              <w:t>增设模块、线路，编程后接入现运行报警主机</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7089A">
            <w:pPr>
              <w:snapToGrid w:val="0"/>
              <w:jc w:val="left"/>
              <w:textAlignment w:val="center"/>
              <w:rPr>
                <w:rFonts w:cs="宋体"/>
                <w:sz w:val="18"/>
                <w:szCs w:val="18"/>
              </w:rPr>
            </w:pPr>
            <w:r>
              <w:rPr>
                <w:rFonts w:hint="eastAsia" w:cs="宋体"/>
                <w:sz w:val="18"/>
                <w:szCs w:val="18"/>
                <w:lang w:bidi="ar"/>
              </w:rPr>
              <w:t>防火卷帘 GB14102-2005 &gt;B.1.3.2 火灾报警性能</w:t>
            </w:r>
            <w:r>
              <w:rPr>
                <w:rFonts w:hint="eastAsia" w:cs="宋体"/>
                <w:sz w:val="18"/>
                <w:szCs w:val="18"/>
                <w:lang w:bidi="ar"/>
              </w:rPr>
              <w:br w:type="textWrapping"/>
            </w:r>
            <w:r>
              <w:rPr>
                <w:rFonts w:hint="eastAsia" w:cs="宋体"/>
                <w:sz w:val="18"/>
                <w:szCs w:val="18"/>
                <w:lang w:bidi="ar"/>
              </w:rPr>
              <w:t xml:space="preserve">    控制箱能直接或间接地接收来自火灾探测器或消防控制中心的火灾报警信号。当接到火灾报警信号后，控制箱应自动完成以下动作：</w:t>
            </w:r>
            <w:r>
              <w:rPr>
                <w:rFonts w:hint="eastAsia" w:cs="宋体"/>
                <w:sz w:val="18"/>
                <w:szCs w:val="18"/>
                <w:lang w:bidi="ar"/>
              </w:rPr>
              <w:br w:type="textWrapping"/>
            </w:r>
            <w:r>
              <w:rPr>
                <w:rFonts w:hint="eastAsia" w:cs="宋体"/>
                <w:sz w:val="18"/>
                <w:szCs w:val="18"/>
                <w:lang w:bidi="ar"/>
              </w:rPr>
              <w:t xml:space="preserve">    c）输出反馈信号，将防火卷帘所处位置的状态信号反馈至消防控制中心，实现消防中心联机控制。</w:t>
            </w:r>
          </w:p>
        </w:tc>
      </w:tr>
      <w:tr w14:paraId="71C9539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B923D">
            <w:pPr>
              <w:snapToGrid w:val="0"/>
              <w:textAlignment w:val="center"/>
              <w:rPr>
                <w:rFonts w:cs="宋体"/>
              </w:rPr>
            </w:pPr>
            <w:r>
              <w:rPr>
                <w:rFonts w:hint="eastAsia" w:cs="宋体"/>
                <w:lang w:bidi="ar"/>
              </w:rPr>
              <w:t>8</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12DCC">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CE550">
            <w:pPr>
              <w:snapToGrid w:val="0"/>
              <w:textAlignment w:val="center"/>
              <w:rPr>
                <w:rFonts w:cs="宋体"/>
                <w:sz w:val="18"/>
                <w:szCs w:val="18"/>
              </w:rPr>
            </w:pPr>
            <w:r>
              <w:rPr>
                <w:rFonts w:hint="eastAsia" w:cs="宋体"/>
                <w:sz w:val="18"/>
                <w:szCs w:val="18"/>
                <w:lang w:bidi="ar"/>
              </w:rPr>
              <w:t>负1层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4E7EB">
            <w:pPr>
              <w:snapToGrid w:val="0"/>
              <w:textAlignment w:val="center"/>
              <w:rPr>
                <w:rFonts w:cs="宋体"/>
                <w:sz w:val="18"/>
                <w:szCs w:val="18"/>
              </w:rPr>
            </w:pPr>
            <w:r>
              <w:rPr>
                <w:rFonts w:hint="eastAsia" w:cs="宋体"/>
                <w:sz w:val="18"/>
                <w:szCs w:val="18"/>
                <w:lang w:bidi="ar"/>
              </w:rPr>
              <w:t>室内消火栓智能压力开关故障</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10DA">
            <w:pPr>
              <w:snapToGrid w:val="0"/>
              <w:textAlignment w:val="center"/>
              <w:rPr>
                <w:rFonts w:cs="宋体"/>
              </w:rPr>
            </w:pPr>
            <w:r>
              <w:rPr>
                <w:rFonts w:hint="eastAsia" w:cs="宋体"/>
              </w:rPr>
              <w:drawing>
                <wp:inline distT="0" distB="0" distL="114300" distR="114300">
                  <wp:extent cx="1200150" cy="1600200"/>
                  <wp:effectExtent l="0" t="0" r="0" b="0"/>
                  <wp:docPr id="10"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62"/>
                          <pic:cNvPicPr>
                            <a:picLocks noChangeAspect="1"/>
                          </pic:cNvPicPr>
                        </pic:nvPicPr>
                        <pic:blipFill>
                          <a:blip r:embed="rId10"/>
                          <a:stretch>
                            <a:fillRect/>
                          </a:stretch>
                        </pic:blipFill>
                        <pic:spPr>
                          <a:xfrm>
                            <a:off x="0" y="0"/>
                            <a:ext cx="1200150" cy="160020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AD186">
            <w:pPr>
              <w:snapToGrid w:val="0"/>
              <w:jc w:val="left"/>
              <w:textAlignment w:val="center"/>
              <w:rPr>
                <w:rFonts w:cs="宋体"/>
                <w:sz w:val="18"/>
                <w:szCs w:val="18"/>
              </w:rPr>
            </w:pPr>
            <w:r>
              <w:rPr>
                <w:rFonts w:hint="eastAsia" w:cs="宋体"/>
                <w:sz w:val="18"/>
                <w:szCs w:val="18"/>
                <w:lang w:bidi="ar"/>
              </w:rPr>
              <w:t>更换故障开关1个</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58B46">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11F34371">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E5556">
            <w:pPr>
              <w:snapToGrid w:val="0"/>
              <w:textAlignment w:val="center"/>
              <w:rPr>
                <w:rFonts w:cs="宋体"/>
              </w:rPr>
            </w:pPr>
            <w:r>
              <w:rPr>
                <w:rFonts w:hint="eastAsia" w:cs="宋体"/>
                <w:lang w:bidi="ar"/>
              </w:rPr>
              <w:t>9</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A3C65">
            <w:pPr>
              <w:snapToGrid w:val="0"/>
              <w:textAlignment w:val="center"/>
              <w:rPr>
                <w:rFonts w:cs="宋体"/>
                <w:sz w:val="18"/>
                <w:szCs w:val="18"/>
              </w:rPr>
            </w:pPr>
            <w:r>
              <w:rPr>
                <w:rFonts w:hint="eastAsia" w:cs="宋体"/>
                <w:sz w:val="18"/>
                <w:szCs w:val="18"/>
                <w:lang w:bidi="ar"/>
              </w:rPr>
              <w:t>消防供水设施</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9630">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5C037">
            <w:pPr>
              <w:snapToGrid w:val="0"/>
              <w:textAlignment w:val="center"/>
              <w:rPr>
                <w:rFonts w:cs="宋体"/>
                <w:sz w:val="18"/>
                <w:szCs w:val="18"/>
              </w:rPr>
            </w:pPr>
            <w:r>
              <w:rPr>
                <w:rFonts w:hint="eastAsia" w:cs="宋体"/>
                <w:sz w:val="18"/>
                <w:szCs w:val="18"/>
                <w:lang w:bidi="ar"/>
              </w:rPr>
              <w:t>稳压罐压力表缺失</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5EDE">
            <w:pPr>
              <w:snapToGrid w:val="0"/>
              <w:textAlignment w:val="center"/>
              <w:rPr>
                <w:rFonts w:cs="宋体"/>
              </w:rPr>
            </w:pPr>
            <w:r>
              <w:rPr>
                <w:rFonts w:hint="eastAsia" w:cs="宋体"/>
              </w:rPr>
              <w:drawing>
                <wp:inline distT="0" distB="0" distL="114300" distR="114300">
                  <wp:extent cx="904875" cy="1200150"/>
                  <wp:effectExtent l="0" t="0" r="9525" b="0"/>
                  <wp:docPr id="14"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IMG_263"/>
                          <pic:cNvPicPr>
                            <a:picLocks noChangeAspect="1"/>
                          </pic:cNvPicPr>
                        </pic:nvPicPr>
                        <pic:blipFill>
                          <a:blip r:embed="rId11"/>
                          <a:stretch>
                            <a:fillRect/>
                          </a:stretch>
                        </pic:blipFill>
                        <pic:spPr>
                          <a:xfrm>
                            <a:off x="0" y="0"/>
                            <a:ext cx="904875" cy="120015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7DF92">
            <w:pPr>
              <w:snapToGrid w:val="0"/>
              <w:jc w:val="left"/>
              <w:textAlignment w:val="center"/>
              <w:rPr>
                <w:rFonts w:cs="宋体"/>
                <w:sz w:val="18"/>
                <w:szCs w:val="18"/>
              </w:rPr>
            </w:pPr>
            <w:r>
              <w:rPr>
                <w:rFonts w:hint="eastAsia" w:cs="宋体"/>
                <w:sz w:val="18"/>
                <w:szCs w:val="18"/>
                <w:lang w:bidi="ar"/>
              </w:rPr>
              <w:t>增加2个稳压罐压力表</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9D3E9">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26F8BFB6">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CF850">
            <w:pPr>
              <w:snapToGrid w:val="0"/>
              <w:textAlignment w:val="center"/>
              <w:rPr>
                <w:rFonts w:cs="宋体"/>
              </w:rPr>
            </w:pPr>
            <w:r>
              <w:rPr>
                <w:rFonts w:hint="eastAsia" w:cs="宋体"/>
                <w:lang w:bidi="ar"/>
              </w:rPr>
              <w:t>10</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8C608">
            <w:pPr>
              <w:snapToGrid w:val="0"/>
              <w:jc w:val="left"/>
              <w:textAlignment w:val="center"/>
              <w:rPr>
                <w:rFonts w:cs="宋体"/>
                <w:sz w:val="18"/>
                <w:szCs w:val="18"/>
              </w:rPr>
            </w:pPr>
            <w:r>
              <w:rPr>
                <w:rFonts w:hint="eastAsia" w:cs="宋体"/>
                <w:sz w:val="18"/>
                <w:szCs w:val="18"/>
                <w:lang w:bidi="ar"/>
              </w:rPr>
              <w:t>火灾报警系统</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BBF7C">
            <w:pPr>
              <w:snapToGrid w:val="0"/>
              <w:textAlignment w:val="center"/>
              <w:rPr>
                <w:rFonts w:cs="宋体"/>
                <w:sz w:val="18"/>
                <w:szCs w:val="18"/>
              </w:rPr>
            </w:pPr>
            <w:r>
              <w:rPr>
                <w:rFonts w:hint="eastAsia" w:cs="宋体"/>
                <w:sz w:val="18"/>
                <w:szCs w:val="18"/>
                <w:lang w:bidi="ar"/>
              </w:rPr>
              <w:t>1层</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C8396">
            <w:pPr>
              <w:snapToGrid w:val="0"/>
              <w:textAlignment w:val="center"/>
              <w:rPr>
                <w:rFonts w:cs="宋体"/>
                <w:sz w:val="18"/>
                <w:szCs w:val="18"/>
              </w:rPr>
            </w:pPr>
            <w:r>
              <w:rPr>
                <w:rFonts w:hint="eastAsia" w:cs="宋体"/>
                <w:sz w:val="18"/>
                <w:szCs w:val="18"/>
                <w:lang w:bidi="ar"/>
              </w:rPr>
              <w:t>配电房设备报警信息引用气体灭火系统，无法精确识别报警信息</w:t>
            </w:r>
          </w:p>
        </w:tc>
        <w:tc>
          <w:tcPr>
            <w:tcW w:w="21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4900C">
            <w:pPr>
              <w:snapToGrid w:val="0"/>
              <w:textAlignment w:val="center"/>
              <w:rPr>
                <w:rFonts w:cs="宋体"/>
              </w:rPr>
            </w:pPr>
            <w:r>
              <w:rPr>
                <w:rFonts w:hint="eastAsia" w:cs="宋体"/>
              </w:rPr>
              <w:drawing>
                <wp:inline distT="0" distB="0" distL="114300" distR="114300">
                  <wp:extent cx="733425" cy="971550"/>
                  <wp:effectExtent l="0" t="0" r="9525" b="0"/>
                  <wp:docPr id="1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64"/>
                          <pic:cNvPicPr>
                            <a:picLocks noChangeAspect="1"/>
                          </pic:cNvPicPr>
                        </pic:nvPicPr>
                        <pic:blipFill>
                          <a:blip r:embed="rId12"/>
                          <a:stretch>
                            <a:fillRect/>
                          </a:stretch>
                        </pic:blipFill>
                        <pic:spPr>
                          <a:xfrm>
                            <a:off x="0" y="0"/>
                            <a:ext cx="733425" cy="97155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CA203">
            <w:pPr>
              <w:snapToGrid w:val="0"/>
              <w:jc w:val="left"/>
              <w:textAlignment w:val="center"/>
              <w:rPr>
                <w:rFonts w:cs="宋体"/>
                <w:sz w:val="18"/>
                <w:szCs w:val="18"/>
              </w:rPr>
            </w:pPr>
            <w:r>
              <w:rPr>
                <w:rFonts w:hint="eastAsia" w:cs="宋体"/>
                <w:sz w:val="18"/>
                <w:szCs w:val="18"/>
                <w:lang w:bidi="ar"/>
              </w:rPr>
              <w:t>增设与报警主机匹配的报警探测器（低压配电房4个烟感，2个温感、高压配电房2个烟感，2个温感）变成后接入现运行报警主机</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507D6">
            <w:pPr>
              <w:snapToGrid w:val="0"/>
              <w:jc w:val="left"/>
              <w:textAlignment w:val="center"/>
              <w:rPr>
                <w:rFonts w:cs="宋体"/>
                <w:sz w:val="18"/>
                <w:szCs w:val="18"/>
              </w:rPr>
            </w:pPr>
            <w:r>
              <w:rPr>
                <w:rFonts w:hint="eastAsia" w:cs="宋体"/>
                <w:sz w:val="18"/>
                <w:szCs w:val="18"/>
                <w:lang w:bidi="ar"/>
              </w:rPr>
              <w:t>消防设施通用规范</w:t>
            </w:r>
            <w:r>
              <w:rPr>
                <w:rFonts w:hint="eastAsia" w:cs="宋体"/>
                <w:sz w:val="18"/>
                <w:szCs w:val="18"/>
                <w:lang w:bidi="ar"/>
              </w:rPr>
              <w:br w:type="textWrapping"/>
            </w:r>
            <w:r>
              <w:rPr>
                <w:rFonts w:hint="eastAsia" w:cs="宋体"/>
                <w:sz w:val="18"/>
                <w:szCs w:val="18"/>
                <w:lang w:bidi="ar"/>
              </w:rPr>
              <w:t xml:space="preserve"> GB55036-20222.0.9 消防设施投入使用后，应定期进行巡查、检查和维护，并应保证其处于正常运行或工作状态</w:t>
            </w:r>
          </w:p>
        </w:tc>
      </w:tr>
      <w:tr w14:paraId="0D9F2585">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15051">
            <w:pPr>
              <w:snapToGrid w:val="0"/>
              <w:textAlignment w:val="center"/>
              <w:rPr>
                <w:rFonts w:cs="宋体"/>
              </w:rPr>
            </w:pPr>
            <w:r>
              <w:rPr>
                <w:rFonts w:hint="eastAsia" w:cs="宋体"/>
                <w:lang w:bidi="ar"/>
              </w:rPr>
              <w:t>11</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74B4">
            <w:pPr>
              <w:snapToGrid w:val="0"/>
              <w:textAlignment w:val="center"/>
              <w:rPr>
                <w:rFonts w:cs="宋体"/>
                <w:sz w:val="18"/>
                <w:szCs w:val="18"/>
              </w:rPr>
            </w:pPr>
            <w:r>
              <w:rPr>
                <w:rFonts w:hint="eastAsia" w:cs="宋体"/>
                <w:sz w:val="18"/>
                <w:szCs w:val="18"/>
                <w:lang w:bidi="ar"/>
              </w:rPr>
              <w:t>防排烟系统</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61CC">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536D">
            <w:pPr>
              <w:snapToGrid w:val="0"/>
              <w:textAlignment w:val="center"/>
              <w:rPr>
                <w:rFonts w:cs="宋体"/>
                <w:sz w:val="18"/>
                <w:szCs w:val="18"/>
              </w:rPr>
            </w:pPr>
            <w:r>
              <w:rPr>
                <w:rFonts w:hint="eastAsia" w:cs="宋体"/>
                <w:sz w:val="18"/>
                <w:szCs w:val="18"/>
                <w:lang w:bidi="ar"/>
              </w:rPr>
              <w:t>排烟机房和送风机房，阀联动停止风机功能缺失</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4D40">
            <w:pPr>
              <w:snapToGrid w:val="0"/>
              <w:textAlignment w:val="center"/>
              <w:rPr>
                <w:rFonts w:cs="宋体"/>
              </w:rPr>
            </w:pPr>
            <w:r>
              <w:rPr>
                <w:rFonts w:hint="eastAsia" w:cs="宋体"/>
              </w:rPr>
              <w:drawing>
                <wp:inline distT="0" distB="0" distL="114300" distR="114300">
                  <wp:extent cx="771525" cy="1028700"/>
                  <wp:effectExtent l="0" t="0" r="9525" b="0"/>
                  <wp:docPr id="7"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IMG_265"/>
                          <pic:cNvPicPr>
                            <a:picLocks noChangeAspect="1"/>
                          </pic:cNvPicPr>
                        </pic:nvPicPr>
                        <pic:blipFill>
                          <a:blip r:embed="rId13"/>
                          <a:stretch>
                            <a:fillRect/>
                          </a:stretch>
                        </pic:blipFill>
                        <pic:spPr>
                          <a:xfrm>
                            <a:off x="0" y="0"/>
                            <a:ext cx="771525" cy="1028700"/>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2B7D">
            <w:pPr>
              <w:snapToGrid w:val="0"/>
              <w:jc w:val="left"/>
              <w:textAlignment w:val="center"/>
              <w:rPr>
                <w:rFonts w:cs="宋体"/>
                <w:sz w:val="18"/>
                <w:szCs w:val="18"/>
              </w:rPr>
            </w:pPr>
            <w:r>
              <w:rPr>
                <w:rFonts w:hint="eastAsia" w:cs="宋体"/>
                <w:sz w:val="18"/>
                <w:szCs w:val="18"/>
                <w:lang w:bidi="ar"/>
              </w:rPr>
              <w:t>安装5个模块和阀门并调试</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FD317">
            <w:pPr>
              <w:snapToGrid w:val="0"/>
              <w:jc w:val="left"/>
              <w:textAlignment w:val="center"/>
              <w:rPr>
                <w:rFonts w:cs="宋体"/>
                <w:sz w:val="18"/>
                <w:szCs w:val="18"/>
              </w:rPr>
            </w:pPr>
            <w:r>
              <w:rPr>
                <w:rFonts w:hint="eastAsia" w:cs="宋体"/>
                <w:sz w:val="18"/>
                <w:szCs w:val="18"/>
                <w:lang w:bidi="ar"/>
              </w:rPr>
              <w:t>建筑防烟排烟系统技术标准 GB51251-2017 5.2.2 第5款 排烟防火阀在280℃时应自行关闭，并应连锁关闭排烟风机和补风机。</w:t>
            </w:r>
          </w:p>
        </w:tc>
      </w:tr>
      <w:tr w14:paraId="54E446ED">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34CE8">
            <w:pPr>
              <w:snapToGrid w:val="0"/>
              <w:textAlignment w:val="center"/>
              <w:rPr>
                <w:rFonts w:cs="宋体"/>
              </w:rPr>
            </w:pPr>
            <w:r>
              <w:rPr>
                <w:rFonts w:hint="eastAsia" w:cs="宋体"/>
                <w:lang w:bidi="ar"/>
              </w:rPr>
              <w:t>12</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24B6">
            <w:pPr>
              <w:snapToGrid w:val="0"/>
              <w:textAlignment w:val="center"/>
              <w:rPr>
                <w:rFonts w:cs="宋体"/>
                <w:sz w:val="18"/>
                <w:szCs w:val="18"/>
              </w:rPr>
            </w:pPr>
            <w:r>
              <w:rPr>
                <w:rFonts w:hint="eastAsia" w:cs="宋体"/>
                <w:sz w:val="18"/>
                <w:szCs w:val="18"/>
                <w:lang w:bidi="ar"/>
              </w:rPr>
              <w:t>空调控制系统</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82F9">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262A">
            <w:pPr>
              <w:snapToGrid w:val="0"/>
              <w:jc w:val="left"/>
              <w:textAlignment w:val="center"/>
              <w:rPr>
                <w:rFonts w:cs="宋体"/>
                <w:sz w:val="18"/>
                <w:szCs w:val="18"/>
              </w:rPr>
            </w:pPr>
            <w:r>
              <w:rPr>
                <w:rFonts w:hint="eastAsia" w:cs="宋体"/>
                <w:sz w:val="18"/>
                <w:szCs w:val="18"/>
                <w:lang w:bidi="ar"/>
              </w:rPr>
              <w:t>3个电梯机房和空调控制机房缺少烟感报警器</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3809">
            <w:pPr>
              <w:snapToGrid w:val="0"/>
              <w:textAlignment w:val="center"/>
              <w:rPr>
                <w:rFonts w:cs="宋体"/>
              </w:rPr>
            </w:pPr>
            <w:r>
              <w:rPr>
                <w:rFonts w:hint="eastAsia" w:cs="宋体"/>
              </w:rPr>
              <w:drawing>
                <wp:inline distT="0" distB="0" distL="114300" distR="114300">
                  <wp:extent cx="752475" cy="1000125"/>
                  <wp:effectExtent l="0" t="0" r="9525" b="9525"/>
                  <wp:docPr id="8"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descr="IMG_266"/>
                          <pic:cNvPicPr>
                            <a:picLocks noChangeAspect="1"/>
                          </pic:cNvPicPr>
                        </pic:nvPicPr>
                        <pic:blipFill>
                          <a:blip r:embed="rId14"/>
                          <a:stretch>
                            <a:fillRect/>
                          </a:stretch>
                        </pic:blipFill>
                        <pic:spPr>
                          <a:xfrm>
                            <a:off x="0" y="0"/>
                            <a:ext cx="752475" cy="10001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C39F4">
            <w:pPr>
              <w:snapToGrid w:val="0"/>
              <w:jc w:val="left"/>
              <w:textAlignment w:val="center"/>
              <w:rPr>
                <w:rFonts w:cs="宋体"/>
                <w:sz w:val="16"/>
                <w:szCs w:val="16"/>
              </w:rPr>
            </w:pPr>
            <w:r>
              <w:rPr>
                <w:rFonts w:hint="eastAsia" w:cs="宋体"/>
                <w:sz w:val="16"/>
                <w:szCs w:val="16"/>
                <w:lang w:bidi="ar"/>
              </w:rPr>
              <w:t>每个机房增加1个烟感探测器</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87641">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 探测区域的每个房间应至少设置一只火灾探测器。</w:t>
            </w:r>
          </w:p>
        </w:tc>
      </w:tr>
      <w:tr w14:paraId="48AE4867">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73EFB">
            <w:pPr>
              <w:snapToGrid w:val="0"/>
              <w:textAlignment w:val="center"/>
              <w:rPr>
                <w:rFonts w:cs="宋体"/>
              </w:rPr>
            </w:pPr>
            <w:r>
              <w:rPr>
                <w:rFonts w:hint="eastAsia" w:cs="宋体"/>
                <w:lang w:bidi="ar"/>
              </w:rPr>
              <w:t>13</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7443">
            <w:pPr>
              <w:snapToGrid w:val="0"/>
              <w:textAlignment w:val="center"/>
              <w:rPr>
                <w:rFonts w:cs="宋体"/>
                <w:sz w:val="18"/>
                <w:szCs w:val="18"/>
              </w:rPr>
            </w:pPr>
            <w:r>
              <w:rPr>
                <w:rFonts w:hint="eastAsia" w:cs="宋体"/>
                <w:sz w:val="18"/>
                <w:szCs w:val="18"/>
                <w:lang w:bidi="ar"/>
              </w:rPr>
              <w:t>电梯装置</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7F2E">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B7C5">
            <w:pPr>
              <w:snapToGrid w:val="0"/>
              <w:jc w:val="left"/>
              <w:textAlignment w:val="center"/>
              <w:rPr>
                <w:rFonts w:cs="宋体"/>
                <w:sz w:val="18"/>
                <w:szCs w:val="18"/>
              </w:rPr>
            </w:pPr>
            <w:r>
              <w:rPr>
                <w:rFonts w:hint="eastAsia" w:cs="宋体"/>
                <w:sz w:val="18"/>
                <w:szCs w:val="18"/>
                <w:lang w:bidi="ar"/>
              </w:rPr>
              <w:t>3个电梯机房、空调控制机房缺少干粉灭火器</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D2C1">
            <w:pPr>
              <w:snapToGrid w:val="0"/>
              <w:textAlignment w:val="center"/>
              <w:rPr>
                <w:rFonts w:cs="宋体"/>
              </w:rPr>
            </w:pPr>
            <w:r>
              <w:rPr>
                <w:rFonts w:hint="eastAsia" w:cs="宋体"/>
              </w:rPr>
              <w:drawing>
                <wp:inline distT="0" distB="0" distL="114300" distR="114300">
                  <wp:extent cx="1209675" cy="904875"/>
                  <wp:effectExtent l="0" t="0" r="9525" b="9525"/>
                  <wp:docPr id="9"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IMG_267"/>
                          <pic:cNvPicPr>
                            <a:picLocks noChangeAspect="1"/>
                          </pic:cNvPicPr>
                        </pic:nvPicPr>
                        <pic:blipFill>
                          <a:blip r:embed="rId15"/>
                          <a:stretch>
                            <a:fillRect/>
                          </a:stretch>
                        </pic:blipFill>
                        <pic:spPr>
                          <a:xfrm>
                            <a:off x="0" y="0"/>
                            <a:ext cx="1209675" cy="90487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199C">
            <w:pPr>
              <w:snapToGrid w:val="0"/>
              <w:jc w:val="left"/>
              <w:textAlignment w:val="center"/>
              <w:rPr>
                <w:rFonts w:cs="宋体"/>
                <w:sz w:val="16"/>
                <w:szCs w:val="16"/>
              </w:rPr>
            </w:pPr>
            <w:r>
              <w:rPr>
                <w:rFonts w:hint="eastAsia" w:cs="宋体"/>
                <w:sz w:val="16"/>
                <w:szCs w:val="16"/>
                <w:lang w:bidi="ar"/>
              </w:rPr>
              <w:t>每个机房增加1套干粉吊球（8公斤的）</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67D6F">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1探测区域的每个房间应至少设置一只火灾探测器。</w:t>
            </w:r>
          </w:p>
        </w:tc>
      </w:tr>
      <w:tr w14:paraId="3AD7C4C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5BDD6">
            <w:pPr>
              <w:snapToGrid w:val="0"/>
              <w:textAlignment w:val="center"/>
              <w:rPr>
                <w:rFonts w:cs="宋体"/>
              </w:rPr>
            </w:pPr>
            <w:r>
              <w:rPr>
                <w:rFonts w:hint="eastAsia" w:cs="宋体"/>
                <w:lang w:bidi="ar"/>
              </w:rPr>
              <w:t>14</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988D">
            <w:pPr>
              <w:snapToGrid w:val="0"/>
              <w:textAlignment w:val="center"/>
              <w:rPr>
                <w:rFonts w:cs="宋体"/>
                <w:sz w:val="18"/>
                <w:szCs w:val="18"/>
              </w:rPr>
            </w:pPr>
            <w:r>
              <w:rPr>
                <w:rFonts w:hint="eastAsia" w:cs="宋体"/>
                <w:sz w:val="18"/>
                <w:szCs w:val="18"/>
                <w:lang w:bidi="ar"/>
              </w:rPr>
              <w:t>信息化耗材仓库</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AA37">
            <w:pPr>
              <w:snapToGrid w:val="0"/>
              <w:textAlignment w:val="center"/>
              <w:rPr>
                <w:rFonts w:cs="宋体"/>
                <w:sz w:val="18"/>
                <w:szCs w:val="18"/>
              </w:rPr>
            </w:pPr>
            <w:r>
              <w:rPr>
                <w:rFonts w:hint="eastAsia" w:cs="宋体"/>
                <w:sz w:val="18"/>
                <w:szCs w:val="18"/>
                <w:lang w:bidi="ar"/>
              </w:rPr>
              <w:t>7楼</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9EC2">
            <w:pPr>
              <w:snapToGrid w:val="0"/>
              <w:jc w:val="left"/>
              <w:textAlignment w:val="center"/>
              <w:rPr>
                <w:rFonts w:cs="宋体"/>
                <w:sz w:val="18"/>
                <w:szCs w:val="18"/>
              </w:rPr>
            </w:pPr>
            <w:r>
              <w:rPr>
                <w:rFonts w:hint="eastAsia" w:cs="宋体"/>
                <w:sz w:val="18"/>
                <w:szCs w:val="18"/>
                <w:lang w:bidi="ar"/>
              </w:rPr>
              <w:t>缺少烟感报警装置；</w:t>
            </w: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9FD7">
            <w:pPr>
              <w:snapToGrid w:val="0"/>
              <w:textAlignment w:val="center"/>
              <w:rPr>
                <w:rFonts w:cs="宋体"/>
              </w:rPr>
            </w:pPr>
            <w:r>
              <w:rPr>
                <w:rFonts w:hint="eastAsia" w:cs="宋体"/>
                <w:lang w:bidi="ar"/>
              </w:rPr>
              <w:t>/</w:t>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97B5B">
            <w:pPr>
              <w:snapToGrid w:val="0"/>
              <w:jc w:val="left"/>
              <w:textAlignment w:val="center"/>
              <w:rPr>
                <w:rFonts w:cs="宋体"/>
                <w:sz w:val="16"/>
                <w:szCs w:val="16"/>
              </w:rPr>
            </w:pPr>
            <w:r>
              <w:rPr>
                <w:rFonts w:hint="eastAsia" w:cs="宋体"/>
                <w:sz w:val="16"/>
                <w:szCs w:val="16"/>
                <w:lang w:bidi="ar"/>
              </w:rPr>
              <w:t>增加1个烟感</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134F0">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1探测区域的每个房间应至少设置一只火灾探测器。</w:t>
            </w:r>
          </w:p>
        </w:tc>
      </w:tr>
      <w:tr w14:paraId="7519AB7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83C30">
            <w:pPr>
              <w:snapToGrid w:val="0"/>
              <w:textAlignment w:val="center"/>
              <w:rPr>
                <w:rFonts w:cs="宋体"/>
              </w:rPr>
            </w:pPr>
            <w:r>
              <w:rPr>
                <w:rFonts w:hint="eastAsia" w:cs="宋体"/>
                <w:lang w:bidi="ar"/>
              </w:rPr>
              <w:t>15</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8668">
            <w:pPr>
              <w:snapToGrid w:val="0"/>
              <w:textAlignment w:val="center"/>
              <w:rPr>
                <w:rFonts w:cs="宋体"/>
                <w:sz w:val="18"/>
                <w:szCs w:val="18"/>
              </w:rPr>
            </w:pPr>
            <w:r>
              <w:rPr>
                <w:rFonts w:hint="eastAsia" w:cs="宋体"/>
                <w:sz w:val="18"/>
                <w:szCs w:val="18"/>
                <w:lang w:bidi="ar"/>
              </w:rPr>
              <w:t>实验室</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AAB8">
            <w:pPr>
              <w:snapToGrid w:val="0"/>
              <w:textAlignment w:val="center"/>
              <w:rPr>
                <w:rFonts w:cs="宋体"/>
                <w:sz w:val="18"/>
                <w:szCs w:val="18"/>
              </w:rPr>
            </w:pPr>
            <w:r>
              <w:rPr>
                <w:rFonts w:hint="eastAsia" w:cs="宋体"/>
                <w:sz w:val="18"/>
                <w:szCs w:val="18"/>
                <w:lang w:bidi="ar"/>
              </w:rPr>
              <w:t>7楼</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5A47">
            <w:pPr>
              <w:snapToGrid w:val="0"/>
              <w:jc w:val="left"/>
              <w:textAlignment w:val="center"/>
              <w:rPr>
                <w:rFonts w:cs="宋体"/>
                <w:sz w:val="18"/>
                <w:szCs w:val="18"/>
              </w:rPr>
            </w:pPr>
            <w:r>
              <w:rPr>
                <w:rFonts w:hint="eastAsia" w:cs="宋体"/>
                <w:sz w:val="18"/>
                <w:szCs w:val="18"/>
                <w:lang w:bidi="ar"/>
              </w:rPr>
              <w:t>生物实验室其中一个设备小房缺少自动灭火装置，其他消防设施实际位置与主机显示不一致</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2E9D">
            <w:pPr>
              <w:snapToGrid w:val="0"/>
              <w:textAlignment w:val="center"/>
              <w:rPr>
                <w:rFonts w:cs="宋体"/>
              </w:rPr>
            </w:pPr>
            <w:r>
              <w:rPr>
                <w:rFonts w:hint="eastAsia" w:cs="宋体"/>
              </w:rPr>
              <w:drawing>
                <wp:inline distT="0" distB="0" distL="114300" distR="114300">
                  <wp:extent cx="952500" cy="1266825"/>
                  <wp:effectExtent l="0" t="0" r="0" b="9525"/>
                  <wp:docPr id="4"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descr="IMG_268"/>
                          <pic:cNvPicPr>
                            <a:picLocks noChangeAspect="1"/>
                          </pic:cNvPicPr>
                        </pic:nvPicPr>
                        <pic:blipFill>
                          <a:blip r:embed="rId16"/>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25675">
            <w:pPr>
              <w:snapToGrid w:val="0"/>
              <w:jc w:val="left"/>
              <w:textAlignment w:val="center"/>
              <w:rPr>
                <w:rFonts w:cs="宋体"/>
                <w:sz w:val="16"/>
                <w:szCs w:val="16"/>
              </w:rPr>
            </w:pPr>
            <w:r>
              <w:rPr>
                <w:rFonts w:hint="eastAsia" w:cs="宋体"/>
                <w:sz w:val="16"/>
                <w:szCs w:val="16"/>
                <w:lang w:bidi="ar"/>
              </w:rPr>
              <w:t>1、实验室设备房增加干球吊球装置；</w:t>
            </w:r>
            <w:r>
              <w:rPr>
                <w:rFonts w:hint="eastAsia" w:cs="宋体"/>
                <w:sz w:val="16"/>
                <w:szCs w:val="16"/>
                <w:lang w:bidi="ar"/>
              </w:rPr>
              <w:br w:type="textWrapping"/>
            </w:r>
            <w:r>
              <w:rPr>
                <w:rFonts w:hint="eastAsia" w:cs="宋体"/>
                <w:sz w:val="16"/>
                <w:szCs w:val="16"/>
                <w:lang w:bidi="ar"/>
              </w:rPr>
              <w:t>2、CRT图文主机修改底图；</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8ABE9">
            <w:pPr>
              <w:snapToGrid w:val="0"/>
              <w:jc w:val="left"/>
              <w:textAlignment w:val="center"/>
              <w:rPr>
                <w:rFonts w:cs="宋体"/>
                <w:sz w:val="16"/>
                <w:szCs w:val="16"/>
              </w:rPr>
            </w:pPr>
            <w:r>
              <w:rPr>
                <w:rFonts w:hint="eastAsia" w:cs="宋体"/>
                <w:sz w:val="16"/>
                <w:szCs w:val="16"/>
                <w:lang w:bidi="ar"/>
              </w:rPr>
              <w:t>火灾自动报警系统设计规范 GB50116-2013 &gt;，6.2 火灾探测器的设置，6.2.2 点型火灾探测器的设置应符合下列规定：</w:t>
            </w:r>
            <w:r>
              <w:rPr>
                <w:rFonts w:hint="eastAsia" w:cs="宋体"/>
                <w:sz w:val="16"/>
                <w:szCs w:val="16"/>
                <w:lang w:bidi="ar"/>
              </w:rPr>
              <w:br w:type="textWrapping"/>
            </w:r>
            <w:r>
              <w:rPr>
                <w:rFonts w:hint="eastAsia" w:cs="宋体"/>
                <w:sz w:val="16"/>
                <w:szCs w:val="16"/>
                <w:lang w:bidi="ar"/>
              </w:rPr>
              <w:t xml:space="preserve">    1探测区域的每个房间应至少设置自动灭火装置</w:t>
            </w:r>
          </w:p>
        </w:tc>
      </w:tr>
      <w:tr w14:paraId="3EBC624C">
        <w:tblPrEx>
          <w:tblCellMar>
            <w:top w:w="0" w:type="dxa"/>
            <w:left w:w="108" w:type="dxa"/>
            <w:bottom w:w="0" w:type="dxa"/>
            <w:right w:w="108" w:type="dxa"/>
          </w:tblCellMar>
        </w:tblPrEx>
        <w:trPr>
          <w:jc w:val="center"/>
        </w:trPr>
        <w:tc>
          <w:tcPr>
            <w:tcW w:w="6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62F39">
            <w:pPr>
              <w:snapToGrid w:val="0"/>
              <w:textAlignment w:val="center"/>
              <w:rPr>
                <w:rFonts w:cs="宋体"/>
              </w:rPr>
            </w:pPr>
            <w:r>
              <w:rPr>
                <w:rFonts w:hint="eastAsia" w:cs="宋体"/>
                <w:lang w:bidi="ar"/>
              </w:rPr>
              <w:t>16</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48FB">
            <w:pPr>
              <w:snapToGrid w:val="0"/>
              <w:textAlignment w:val="center"/>
              <w:rPr>
                <w:rFonts w:cs="宋体"/>
                <w:sz w:val="18"/>
                <w:szCs w:val="18"/>
              </w:rPr>
            </w:pPr>
            <w:r>
              <w:rPr>
                <w:rFonts w:hint="eastAsia" w:cs="宋体"/>
                <w:sz w:val="18"/>
                <w:szCs w:val="18"/>
                <w:lang w:bidi="ar"/>
              </w:rPr>
              <w:t>防排烟系统</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4A86">
            <w:pPr>
              <w:snapToGrid w:val="0"/>
              <w:textAlignment w:val="center"/>
              <w:rPr>
                <w:rFonts w:cs="宋体"/>
                <w:sz w:val="18"/>
                <w:szCs w:val="18"/>
              </w:rPr>
            </w:pPr>
            <w:r>
              <w:rPr>
                <w:rFonts w:hint="eastAsia" w:cs="宋体"/>
                <w:sz w:val="18"/>
                <w:szCs w:val="18"/>
                <w:lang w:bidi="ar"/>
              </w:rPr>
              <w:t>天面</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86C7">
            <w:pPr>
              <w:snapToGrid w:val="0"/>
              <w:jc w:val="left"/>
              <w:textAlignment w:val="center"/>
              <w:rPr>
                <w:rFonts w:cs="宋体"/>
                <w:sz w:val="18"/>
                <w:szCs w:val="18"/>
              </w:rPr>
            </w:pPr>
            <w:r>
              <w:rPr>
                <w:rFonts w:hint="eastAsia" w:cs="宋体"/>
                <w:sz w:val="18"/>
                <w:szCs w:val="18"/>
                <w:lang w:bidi="ar"/>
              </w:rPr>
              <w:t>排烟和送风机房管道穿墙处锈蚀（3条通风管道）</w:t>
            </w:r>
          </w:p>
        </w:tc>
        <w:tc>
          <w:tcPr>
            <w:tcW w:w="2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B2FA">
            <w:pPr>
              <w:snapToGrid w:val="0"/>
              <w:textAlignment w:val="center"/>
              <w:rPr>
                <w:rFonts w:cs="宋体"/>
              </w:rPr>
            </w:pPr>
            <w:r>
              <w:rPr>
                <w:rFonts w:hint="eastAsia" w:cs="宋体"/>
              </w:rPr>
              <w:drawing>
                <wp:inline distT="0" distB="0" distL="114300" distR="114300">
                  <wp:extent cx="952500" cy="1266825"/>
                  <wp:effectExtent l="0" t="0" r="0" b="9525"/>
                  <wp:docPr id="3"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 descr="IMG_269"/>
                          <pic:cNvPicPr>
                            <a:picLocks noChangeAspect="1"/>
                          </pic:cNvPicPr>
                        </pic:nvPicPr>
                        <pic:blipFill>
                          <a:blip r:embed="rId17"/>
                          <a:stretch>
                            <a:fillRect/>
                          </a:stretch>
                        </pic:blipFill>
                        <pic:spPr>
                          <a:xfrm>
                            <a:off x="0" y="0"/>
                            <a:ext cx="952500" cy="1266825"/>
                          </a:xfrm>
                          <a:prstGeom prst="rect">
                            <a:avLst/>
                          </a:prstGeom>
                          <a:noFill/>
                          <a:ln w="9525">
                            <a:noFill/>
                          </a:ln>
                        </pic:spPr>
                      </pic:pic>
                    </a:graphicData>
                  </a:graphic>
                </wp:inline>
              </w:drawing>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375FB">
            <w:pPr>
              <w:snapToGrid w:val="0"/>
              <w:jc w:val="left"/>
              <w:textAlignment w:val="center"/>
              <w:rPr>
                <w:rFonts w:cs="宋体"/>
                <w:sz w:val="18"/>
                <w:szCs w:val="18"/>
              </w:rPr>
            </w:pPr>
            <w:r>
              <w:rPr>
                <w:rFonts w:hint="eastAsia" w:cs="宋体"/>
                <w:sz w:val="18"/>
                <w:szCs w:val="18"/>
                <w:lang w:bidi="ar"/>
              </w:rPr>
              <w:t>处理锈蚀的3条通风管道（若要更换，穿墙处需要用不锈钢材质防止以后再次生锈）</w:t>
            </w:r>
          </w:p>
        </w:tc>
        <w:tc>
          <w:tcPr>
            <w:tcW w:w="28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7AEDA">
            <w:pPr>
              <w:snapToGrid w:val="0"/>
              <w:jc w:val="left"/>
              <w:textAlignment w:val="center"/>
              <w:rPr>
                <w:rFonts w:cs="宋体"/>
                <w:sz w:val="16"/>
                <w:szCs w:val="16"/>
              </w:rPr>
            </w:pPr>
            <w:r>
              <w:rPr>
                <w:rFonts w:hint="eastAsia" w:cs="宋体"/>
                <w:sz w:val="16"/>
                <w:szCs w:val="16"/>
                <w:lang w:bidi="ar"/>
              </w:rPr>
              <w:t>建筑防烟排烟系统技术标准 GB51251-2017 其他要求：隔热、连接与封堵，管道穿越防火墙或者楼板后的孔隙，必须用防火封堵材料严密封堵。</w:t>
            </w:r>
          </w:p>
        </w:tc>
      </w:tr>
    </w:tbl>
    <w:p w14:paraId="7337A6F6">
      <w:pPr>
        <w:jc w:val="both"/>
      </w:pPr>
    </w:p>
    <w:sectPr>
      <w:pgSz w:w="11906" w:h="16838"/>
      <w:pgMar w:top="993" w:right="612" w:bottom="986" w:left="612"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4E147FC1-A9CA-4AD3-AE27-2B667CFE7D6A}"/>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4C04C6BE-DE18-469C-B122-8074698EA685}"/>
  </w:font>
  <w:font w:name="方正小标宋简体">
    <w:panose1 w:val="02000000000000000000"/>
    <w:charset w:val="86"/>
    <w:family w:val="auto"/>
    <w:pitch w:val="default"/>
    <w:sig w:usb0="00000001" w:usb1="08000000" w:usb2="00000000" w:usb3="00000000" w:csb0="00040000" w:csb1="00000000"/>
    <w:embedRegular r:id="rId3" w:fontKey="{1DF5F9B2-0026-42AE-87D3-97CAC5B6C26A}"/>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BF58EF"/>
    <w:multiLevelType w:val="singleLevel"/>
    <w:tmpl w:val="48BF58EF"/>
    <w:lvl w:ilvl="0" w:tentative="0">
      <w:start w:val="5"/>
      <w:numFmt w:val="decimal"/>
      <w:lvlText w:val="%1."/>
      <w:lvlJc w:val="left"/>
      <w:pPr>
        <w:tabs>
          <w:tab w:val="left" w:pos="312"/>
        </w:tabs>
      </w:pPr>
    </w:lvl>
  </w:abstractNum>
  <w:abstractNum w:abstractNumId="1">
    <w:nsid w:val="62931E1B"/>
    <w:multiLevelType w:val="singleLevel"/>
    <w:tmpl w:val="62931E1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E9"/>
    <w:rsid w:val="0000090A"/>
    <w:rsid w:val="00002A27"/>
    <w:rsid w:val="00011B82"/>
    <w:rsid w:val="00022396"/>
    <w:rsid w:val="000241C3"/>
    <w:rsid w:val="00024218"/>
    <w:rsid w:val="00024A31"/>
    <w:rsid w:val="000260F6"/>
    <w:rsid w:val="00027F1A"/>
    <w:rsid w:val="00033EC7"/>
    <w:rsid w:val="00040D64"/>
    <w:rsid w:val="00046274"/>
    <w:rsid w:val="000473FF"/>
    <w:rsid w:val="00050487"/>
    <w:rsid w:val="00050BF6"/>
    <w:rsid w:val="000535D6"/>
    <w:rsid w:val="00054904"/>
    <w:rsid w:val="00054C0A"/>
    <w:rsid w:val="00054FED"/>
    <w:rsid w:val="00055166"/>
    <w:rsid w:val="00056ED7"/>
    <w:rsid w:val="00057ABC"/>
    <w:rsid w:val="00060D4F"/>
    <w:rsid w:val="00061B01"/>
    <w:rsid w:val="00063B47"/>
    <w:rsid w:val="00066D60"/>
    <w:rsid w:val="00081625"/>
    <w:rsid w:val="00081DCA"/>
    <w:rsid w:val="00092748"/>
    <w:rsid w:val="000963DF"/>
    <w:rsid w:val="000969AD"/>
    <w:rsid w:val="00096B4C"/>
    <w:rsid w:val="00097F39"/>
    <w:rsid w:val="000A1A47"/>
    <w:rsid w:val="000A334F"/>
    <w:rsid w:val="000B5C11"/>
    <w:rsid w:val="000C3C06"/>
    <w:rsid w:val="000C4174"/>
    <w:rsid w:val="000C5BD2"/>
    <w:rsid w:val="000D0B15"/>
    <w:rsid w:val="000D170A"/>
    <w:rsid w:val="000D38E9"/>
    <w:rsid w:val="000D5954"/>
    <w:rsid w:val="000E1A9C"/>
    <w:rsid w:val="000E24AF"/>
    <w:rsid w:val="000F1131"/>
    <w:rsid w:val="000F2912"/>
    <w:rsid w:val="000F301A"/>
    <w:rsid w:val="000F6DE9"/>
    <w:rsid w:val="001011AB"/>
    <w:rsid w:val="001076B3"/>
    <w:rsid w:val="00111D09"/>
    <w:rsid w:val="00111F90"/>
    <w:rsid w:val="001251A8"/>
    <w:rsid w:val="0012630E"/>
    <w:rsid w:val="00141515"/>
    <w:rsid w:val="00156886"/>
    <w:rsid w:val="00162B46"/>
    <w:rsid w:val="001641B0"/>
    <w:rsid w:val="00171162"/>
    <w:rsid w:val="0017382F"/>
    <w:rsid w:val="001818F0"/>
    <w:rsid w:val="0018247A"/>
    <w:rsid w:val="00185417"/>
    <w:rsid w:val="0018666A"/>
    <w:rsid w:val="00191CF3"/>
    <w:rsid w:val="00191D5E"/>
    <w:rsid w:val="001967B4"/>
    <w:rsid w:val="001A049C"/>
    <w:rsid w:val="001B1FD0"/>
    <w:rsid w:val="001D10CC"/>
    <w:rsid w:val="001E01F8"/>
    <w:rsid w:val="001E28FF"/>
    <w:rsid w:val="001E4011"/>
    <w:rsid w:val="001E6A63"/>
    <w:rsid w:val="001F4D5B"/>
    <w:rsid w:val="00206B02"/>
    <w:rsid w:val="00215437"/>
    <w:rsid w:val="00215D3B"/>
    <w:rsid w:val="002160AE"/>
    <w:rsid w:val="002175B6"/>
    <w:rsid w:val="00221AC0"/>
    <w:rsid w:val="00230A6D"/>
    <w:rsid w:val="00230FBA"/>
    <w:rsid w:val="002320C7"/>
    <w:rsid w:val="00237E82"/>
    <w:rsid w:val="002473A7"/>
    <w:rsid w:val="00251BDD"/>
    <w:rsid w:val="00254BAE"/>
    <w:rsid w:val="002639FF"/>
    <w:rsid w:val="0026583B"/>
    <w:rsid w:val="00266845"/>
    <w:rsid w:val="00275D91"/>
    <w:rsid w:val="00277842"/>
    <w:rsid w:val="00277F64"/>
    <w:rsid w:val="002827A2"/>
    <w:rsid w:val="00284D25"/>
    <w:rsid w:val="002876E2"/>
    <w:rsid w:val="002902D8"/>
    <w:rsid w:val="0029043A"/>
    <w:rsid w:val="00290E3F"/>
    <w:rsid w:val="002918F2"/>
    <w:rsid w:val="00291FD5"/>
    <w:rsid w:val="00294C89"/>
    <w:rsid w:val="00296C3F"/>
    <w:rsid w:val="002A0E6D"/>
    <w:rsid w:val="002A213F"/>
    <w:rsid w:val="002A5544"/>
    <w:rsid w:val="002A63BB"/>
    <w:rsid w:val="002B365F"/>
    <w:rsid w:val="002B5648"/>
    <w:rsid w:val="002B5ECA"/>
    <w:rsid w:val="002B6E40"/>
    <w:rsid w:val="002C20AE"/>
    <w:rsid w:val="002C335B"/>
    <w:rsid w:val="002D1C4F"/>
    <w:rsid w:val="002D200D"/>
    <w:rsid w:val="002E7FD2"/>
    <w:rsid w:val="002F076D"/>
    <w:rsid w:val="002F0FE9"/>
    <w:rsid w:val="002F14AC"/>
    <w:rsid w:val="002F299C"/>
    <w:rsid w:val="002F3CF2"/>
    <w:rsid w:val="002F4520"/>
    <w:rsid w:val="002F6D1D"/>
    <w:rsid w:val="003019B0"/>
    <w:rsid w:val="00303128"/>
    <w:rsid w:val="0030385D"/>
    <w:rsid w:val="003056E4"/>
    <w:rsid w:val="003060A3"/>
    <w:rsid w:val="0031138F"/>
    <w:rsid w:val="0031483D"/>
    <w:rsid w:val="0032096F"/>
    <w:rsid w:val="00320A7E"/>
    <w:rsid w:val="003223D3"/>
    <w:rsid w:val="0033377A"/>
    <w:rsid w:val="00336590"/>
    <w:rsid w:val="00341EF3"/>
    <w:rsid w:val="003441F6"/>
    <w:rsid w:val="0035076A"/>
    <w:rsid w:val="00350CAF"/>
    <w:rsid w:val="00353AF7"/>
    <w:rsid w:val="003615A2"/>
    <w:rsid w:val="00361CC6"/>
    <w:rsid w:val="0036201A"/>
    <w:rsid w:val="00363931"/>
    <w:rsid w:val="00366241"/>
    <w:rsid w:val="00370DF4"/>
    <w:rsid w:val="0037313E"/>
    <w:rsid w:val="0037494A"/>
    <w:rsid w:val="0037521A"/>
    <w:rsid w:val="003766BB"/>
    <w:rsid w:val="00390626"/>
    <w:rsid w:val="00394830"/>
    <w:rsid w:val="003951F5"/>
    <w:rsid w:val="00395524"/>
    <w:rsid w:val="003A38A0"/>
    <w:rsid w:val="003A5378"/>
    <w:rsid w:val="003A602F"/>
    <w:rsid w:val="003A62FA"/>
    <w:rsid w:val="003B338F"/>
    <w:rsid w:val="003B6607"/>
    <w:rsid w:val="003C17CE"/>
    <w:rsid w:val="003C5A41"/>
    <w:rsid w:val="003D15EF"/>
    <w:rsid w:val="003D1EF0"/>
    <w:rsid w:val="003D2D47"/>
    <w:rsid w:val="003D3DA4"/>
    <w:rsid w:val="003D4336"/>
    <w:rsid w:val="003D4974"/>
    <w:rsid w:val="003E2D4F"/>
    <w:rsid w:val="003E462A"/>
    <w:rsid w:val="003E6EA9"/>
    <w:rsid w:val="003F371C"/>
    <w:rsid w:val="00401212"/>
    <w:rsid w:val="00407D1B"/>
    <w:rsid w:val="00413167"/>
    <w:rsid w:val="00415182"/>
    <w:rsid w:val="00416F16"/>
    <w:rsid w:val="00417349"/>
    <w:rsid w:val="00422E85"/>
    <w:rsid w:val="0043050C"/>
    <w:rsid w:val="00431435"/>
    <w:rsid w:val="00431DC1"/>
    <w:rsid w:val="00435F5A"/>
    <w:rsid w:val="00441374"/>
    <w:rsid w:val="00444170"/>
    <w:rsid w:val="00445E3F"/>
    <w:rsid w:val="00447465"/>
    <w:rsid w:val="0044750D"/>
    <w:rsid w:val="0045505A"/>
    <w:rsid w:val="00460633"/>
    <w:rsid w:val="00460960"/>
    <w:rsid w:val="00461517"/>
    <w:rsid w:val="004628E1"/>
    <w:rsid w:val="00462C27"/>
    <w:rsid w:val="00471A3B"/>
    <w:rsid w:val="00472342"/>
    <w:rsid w:val="00476019"/>
    <w:rsid w:val="0047631A"/>
    <w:rsid w:val="00486FCA"/>
    <w:rsid w:val="004935AF"/>
    <w:rsid w:val="004958A6"/>
    <w:rsid w:val="004A1104"/>
    <w:rsid w:val="004B6982"/>
    <w:rsid w:val="004C0736"/>
    <w:rsid w:val="004C2143"/>
    <w:rsid w:val="004C218C"/>
    <w:rsid w:val="004C2EEF"/>
    <w:rsid w:val="004C3F84"/>
    <w:rsid w:val="004C5CAF"/>
    <w:rsid w:val="004C7348"/>
    <w:rsid w:val="004D3AE3"/>
    <w:rsid w:val="004E1273"/>
    <w:rsid w:val="004E5766"/>
    <w:rsid w:val="004E5B3E"/>
    <w:rsid w:val="004E6EAF"/>
    <w:rsid w:val="004E7C1A"/>
    <w:rsid w:val="004F7DD5"/>
    <w:rsid w:val="005035FD"/>
    <w:rsid w:val="0051104B"/>
    <w:rsid w:val="0051344E"/>
    <w:rsid w:val="005151B1"/>
    <w:rsid w:val="005165C0"/>
    <w:rsid w:val="00521192"/>
    <w:rsid w:val="00535022"/>
    <w:rsid w:val="0053613F"/>
    <w:rsid w:val="005364E8"/>
    <w:rsid w:val="00542F69"/>
    <w:rsid w:val="00545A25"/>
    <w:rsid w:val="00546BC1"/>
    <w:rsid w:val="00552796"/>
    <w:rsid w:val="00553E26"/>
    <w:rsid w:val="005547F3"/>
    <w:rsid w:val="0055545A"/>
    <w:rsid w:val="0056006D"/>
    <w:rsid w:val="00560AEC"/>
    <w:rsid w:val="00561185"/>
    <w:rsid w:val="0056286D"/>
    <w:rsid w:val="00574DEA"/>
    <w:rsid w:val="0057501A"/>
    <w:rsid w:val="00576BAB"/>
    <w:rsid w:val="00583BD6"/>
    <w:rsid w:val="005911AF"/>
    <w:rsid w:val="0059152C"/>
    <w:rsid w:val="005927F0"/>
    <w:rsid w:val="0059288C"/>
    <w:rsid w:val="00597769"/>
    <w:rsid w:val="00597FB6"/>
    <w:rsid w:val="005A4CB8"/>
    <w:rsid w:val="005A5604"/>
    <w:rsid w:val="005A6E97"/>
    <w:rsid w:val="005A7A76"/>
    <w:rsid w:val="005B087E"/>
    <w:rsid w:val="005B5ABC"/>
    <w:rsid w:val="005B63CE"/>
    <w:rsid w:val="005C580F"/>
    <w:rsid w:val="005C6994"/>
    <w:rsid w:val="005C75B6"/>
    <w:rsid w:val="005D0DF3"/>
    <w:rsid w:val="005D55FC"/>
    <w:rsid w:val="005D5AE9"/>
    <w:rsid w:val="005E0213"/>
    <w:rsid w:val="005E06EF"/>
    <w:rsid w:val="005E1B85"/>
    <w:rsid w:val="005E4B8D"/>
    <w:rsid w:val="005E5CC0"/>
    <w:rsid w:val="005F1640"/>
    <w:rsid w:val="005F1D5A"/>
    <w:rsid w:val="005F2085"/>
    <w:rsid w:val="005F4E94"/>
    <w:rsid w:val="006119A7"/>
    <w:rsid w:val="00614DFD"/>
    <w:rsid w:val="00616B14"/>
    <w:rsid w:val="006204AC"/>
    <w:rsid w:val="006242FD"/>
    <w:rsid w:val="006327BB"/>
    <w:rsid w:val="00632A40"/>
    <w:rsid w:val="00632E3F"/>
    <w:rsid w:val="00633C9D"/>
    <w:rsid w:val="00641BD4"/>
    <w:rsid w:val="0064362E"/>
    <w:rsid w:val="00644592"/>
    <w:rsid w:val="00646C21"/>
    <w:rsid w:val="00646CC9"/>
    <w:rsid w:val="00647449"/>
    <w:rsid w:val="006616C6"/>
    <w:rsid w:val="00663C02"/>
    <w:rsid w:val="00664945"/>
    <w:rsid w:val="00665B79"/>
    <w:rsid w:val="00670AF6"/>
    <w:rsid w:val="00671450"/>
    <w:rsid w:val="00677199"/>
    <w:rsid w:val="00680B2D"/>
    <w:rsid w:val="00684663"/>
    <w:rsid w:val="00685465"/>
    <w:rsid w:val="006978B9"/>
    <w:rsid w:val="006A03C8"/>
    <w:rsid w:val="006A0543"/>
    <w:rsid w:val="006A4B52"/>
    <w:rsid w:val="006B2300"/>
    <w:rsid w:val="006C0C6A"/>
    <w:rsid w:val="006C14A7"/>
    <w:rsid w:val="006C292F"/>
    <w:rsid w:val="006C77CB"/>
    <w:rsid w:val="006C7FEA"/>
    <w:rsid w:val="006D7F48"/>
    <w:rsid w:val="006E0F29"/>
    <w:rsid w:val="006E3BDF"/>
    <w:rsid w:val="006E5A0B"/>
    <w:rsid w:val="006E6ABD"/>
    <w:rsid w:val="006E6CDC"/>
    <w:rsid w:val="006F46E9"/>
    <w:rsid w:val="006F4B3C"/>
    <w:rsid w:val="006F4CAA"/>
    <w:rsid w:val="00704376"/>
    <w:rsid w:val="007050D0"/>
    <w:rsid w:val="0070519F"/>
    <w:rsid w:val="00714036"/>
    <w:rsid w:val="00716308"/>
    <w:rsid w:val="00722799"/>
    <w:rsid w:val="007278DD"/>
    <w:rsid w:val="007326BE"/>
    <w:rsid w:val="00732EDF"/>
    <w:rsid w:val="0073410B"/>
    <w:rsid w:val="007354E0"/>
    <w:rsid w:val="007360DA"/>
    <w:rsid w:val="00737114"/>
    <w:rsid w:val="0073790D"/>
    <w:rsid w:val="00740B8E"/>
    <w:rsid w:val="00743B8A"/>
    <w:rsid w:val="00745BFD"/>
    <w:rsid w:val="0075797B"/>
    <w:rsid w:val="00760E5F"/>
    <w:rsid w:val="00761371"/>
    <w:rsid w:val="0076541D"/>
    <w:rsid w:val="007735F4"/>
    <w:rsid w:val="007772FF"/>
    <w:rsid w:val="00780C96"/>
    <w:rsid w:val="007854FC"/>
    <w:rsid w:val="00790729"/>
    <w:rsid w:val="0079446A"/>
    <w:rsid w:val="00795AF1"/>
    <w:rsid w:val="007975AF"/>
    <w:rsid w:val="00797F6C"/>
    <w:rsid w:val="007A1717"/>
    <w:rsid w:val="007A17A1"/>
    <w:rsid w:val="007A1CE5"/>
    <w:rsid w:val="007B18D9"/>
    <w:rsid w:val="007B3EBF"/>
    <w:rsid w:val="007B655D"/>
    <w:rsid w:val="007C748B"/>
    <w:rsid w:val="007D246E"/>
    <w:rsid w:val="007D2483"/>
    <w:rsid w:val="007E4020"/>
    <w:rsid w:val="007E505C"/>
    <w:rsid w:val="007E73DC"/>
    <w:rsid w:val="007F3201"/>
    <w:rsid w:val="007F36F5"/>
    <w:rsid w:val="007F58FF"/>
    <w:rsid w:val="007F6DEF"/>
    <w:rsid w:val="00805886"/>
    <w:rsid w:val="0080793B"/>
    <w:rsid w:val="00820C7D"/>
    <w:rsid w:val="00824F62"/>
    <w:rsid w:val="00830D24"/>
    <w:rsid w:val="00830F85"/>
    <w:rsid w:val="00832777"/>
    <w:rsid w:val="00836D9F"/>
    <w:rsid w:val="0084110D"/>
    <w:rsid w:val="008459DE"/>
    <w:rsid w:val="00850AFE"/>
    <w:rsid w:val="008560FF"/>
    <w:rsid w:val="00857CE5"/>
    <w:rsid w:val="008606E1"/>
    <w:rsid w:val="00873AA2"/>
    <w:rsid w:val="00873F08"/>
    <w:rsid w:val="008759C8"/>
    <w:rsid w:val="00876571"/>
    <w:rsid w:val="00892860"/>
    <w:rsid w:val="008A3BC8"/>
    <w:rsid w:val="008A61A8"/>
    <w:rsid w:val="008A6547"/>
    <w:rsid w:val="008A7051"/>
    <w:rsid w:val="008B20DA"/>
    <w:rsid w:val="008B630D"/>
    <w:rsid w:val="008C0124"/>
    <w:rsid w:val="008C58FC"/>
    <w:rsid w:val="008C6EAD"/>
    <w:rsid w:val="008D5120"/>
    <w:rsid w:val="008D550D"/>
    <w:rsid w:val="008D734E"/>
    <w:rsid w:val="008E1C32"/>
    <w:rsid w:val="008E26B7"/>
    <w:rsid w:val="008E2EEC"/>
    <w:rsid w:val="008E4C4C"/>
    <w:rsid w:val="008E521B"/>
    <w:rsid w:val="008E5517"/>
    <w:rsid w:val="008E741A"/>
    <w:rsid w:val="008E7911"/>
    <w:rsid w:val="008E7C0E"/>
    <w:rsid w:val="008F4818"/>
    <w:rsid w:val="008F777E"/>
    <w:rsid w:val="008F7FF8"/>
    <w:rsid w:val="00900FA2"/>
    <w:rsid w:val="00902D1D"/>
    <w:rsid w:val="009035E5"/>
    <w:rsid w:val="00912805"/>
    <w:rsid w:val="00916031"/>
    <w:rsid w:val="009208E6"/>
    <w:rsid w:val="00923FD8"/>
    <w:rsid w:val="00930F0E"/>
    <w:rsid w:val="00933D10"/>
    <w:rsid w:val="00935847"/>
    <w:rsid w:val="0093596B"/>
    <w:rsid w:val="00941A80"/>
    <w:rsid w:val="009430F6"/>
    <w:rsid w:val="00943564"/>
    <w:rsid w:val="00944740"/>
    <w:rsid w:val="009455E6"/>
    <w:rsid w:val="009605C9"/>
    <w:rsid w:val="00961439"/>
    <w:rsid w:val="009626E5"/>
    <w:rsid w:val="00962E33"/>
    <w:rsid w:val="0096386E"/>
    <w:rsid w:val="00964CAE"/>
    <w:rsid w:val="00966872"/>
    <w:rsid w:val="009675F0"/>
    <w:rsid w:val="00972522"/>
    <w:rsid w:val="00974EC5"/>
    <w:rsid w:val="00976CB7"/>
    <w:rsid w:val="00987678"/>
    <w:rsid w:val="00995EAD"/>
    <w:rsid w:val="009A5EC6"/>
    <w:rsid w:val="009C2250"/>
    <w:rsid w:val="009C7B9C"/>
    <w:rsid w:val="009D0A2D"/>
    <w:rsid w:val="009D0C5F"/>
    <w:rsid w:val="009D0C96"/>
    <w:rsid w:val="009D1ECD"/>
    <w:rsid w:val="009D5B75"/>
    <w:rsid w:val="009D5F06"/>
    <w:rsid w:val="009D7684"/>
    <w:rsid w:val="009E09E3"/>
    <w:rsid w:val="009E36E5"/>
    <w:rsid w:val="009E4AC8"/>
    <w:rsid w:val="009E4CA7"/>
    <w:rsid w:val="009E69E3"/>
    <w:rsid w:val="009F2F53"/>
    <w:rsid w:val="009F3619"/>
    <w:rsid w:val="009F38A3"/>
    <w:rsid w:val="009F5C82"/>
    <w:rsid w:val="009F7B32"/>
    <w:rsid w:val="00A1655C"/>
    <w:rsid w:val="00A16BA0"/>
    <w:rsid w:val="00A17060"/>
    <w:rsid w:val="00A17277"/>
    <w:rsid w:val="00A208E2"/>
    <w:rsid w:val="00A24989"/>
    <w:rsid w:val="00A34CB3"/>
    <w:rsid w:val="00A4593A"/>
    <w:rsid w:val="00A46118"/>
    <w:rsid w:val="00A46335"/>
    <w:rsid w:val="00A50E60"/>
    <w:rsid w:val="00A5222B"/>
    <w:rsid w:val="00A554FE"/>
    <w:rsid w:val="00A616DE"/>
    <w:rsid w:val="00A62067"/>
    <w:rsid w:val="00A6252D"/>
    <w:rsid w:val="00A63E04"/>
    <w:rsid w:val="00A66B9D"/>
    <w:rsid w:val="00A67F19"/>
    <w:rsid w:val="00A70D93"/>
    <w:rsid w:val="00A71329"/>
    <w:rsid w:val="00A77C20"/>
    <w:rsid w:val="00A81187"/>
    <w:rsid w:val="00A90705"/>
    <w:rsid w:val="00A94995"/>
    <w:rsid w:val="00A96E22"/>
    <w:rsid w:val="00AA614D"/>
    <w:rsid w:val="00AA698B"/>
    <w:rsid w:val="00AB4DF1"/>
    <w:rsid w:val="00AB57F4"/>
    <w:rsid w:val="00AC1882"/>
    <w:rsid w:val="00AC2827"/>
    <w:rsid w:val="00AD0546"/>
    <w:rsid w:val="00AD1265"/>
    <w:rsid w:val="00AD71AB"/>
    <w:rsid w:val="00AE0C6A"/>
    <w:rsid w:val="00AE325A"/>
    <w:rsid w:val="00AE7B08"/>
    <w:rsid w:val="00AF4750"/>
    <w:rsid w:val="00AF5C6E"/>
    <w:rsid w:val="00B050F8"/>
    <w:rsid w:val="00B06840"/>
    <w:rsid w:val="00B1273B"/>
    <w:rsid w:val="00B163BE"/>
    <w:rsid w:val="00B21EEA"/>
    <w:rsid w:val="00B223EF"/>
    <w:rsid w:val="00B2383E"/>
    <w:rsid w:val="00B2548C"/>
    <w:rsid w:val="00B30F7F"/>
    <w:rsid w:val="00B35630"/>
    <w:rsid w:val="00B42095"/>
    <w:rsid w:val="00B4247F"/>
    <w:rsid w:val="00B565A0"/>
    <w:rsid w:val="00B56770"/>
    <w:rsid w:val="00B56DB5"/>
    <w:rsid w:val="00B63750"/>
    <w:rsid w:val="00B71816"/>
    <w:rsid w:val="00B718B3"/>
    <w:rsid w:val="00B76AA2"/>
    <w:rsid w:val="00B8096B"/>
    <w:rsid w:val="00B82A1A"/>
    <w:rsid w:val="00B91DCF"/>
    <w:rsid w:val="00BA2EA6"/>
    <w:rsid w:val="00BA33DA"/>
    <w:rsid w:val="00BA39B7"/>
    <w:rsid w:val="00BC1EB5"/>
    <w:rsid w:val="00BD0FDF"/>
    <w:rsid w:val="00BD1D19"/>
    <w:rsid w:val="00BD1F5B"/>
    <w:rsid w:val="00BD21C6"/>
    <w:rsid w:val="00BD4CD7"/>
    <w:rsid w:val="00BE1C20"/>
    <w:rsid w:val="00BE2CBA"/>
    <w:rsid w:val="00BE5E02"/>
    <w:rsid w:val="00BE79F2"/>
    <w:rsid w:val="00BF0DBE"/>
    <w:rsid w:val="00BF2E47"/>
    <w:rsid w:val="00BF706B"/>
    <w:rsid w:val="00BF7C3D"/>
    <w:rsid w:val="00C03F66"/>
    <w:rsid w:val="00C05896"/>
    <w:rsid w:val="00C12AB8"/>
    <w:rsid w:val="00C15302"/>
    <w:rsid w:val="00C23A5A"/>
    <w:rsid w:val="00C25DBB"/>
    <w:rsid w:val="00C265B9"/>
    <w:rsid w:val="00C3270E"/>
    <w:rsid w:val="00C327EE"/>
    <w:rsid w:val="00C353DB"/>
    <w:rsid w:val="00C37F7A"/>
    <w:rsid w:val="00C445B3"/>
    <w:rsid w:val="00C469F6"/>
    <w:rsid w:val="00C50F10"/>
    <w:rsid w:val="00C54B8A"/>
    <w:rsid w:val="00C54BBD"/>
    <w:rsid w:val="00C55386"/>
    <w:rsid w:val="00C70B34"/>
    <w:rsid w:val="00C710EE"/>
    <w:rsid w:val="00C80A1A"/>
    <w:rsid w:val="00C81719"/>
    <w:rsid w:val="00C86141"/>
    <w:rsid w:val="00C927B0"/>
    <w:rsid w:val="00C92C46"/>
    <w:rsid w:val="00C93A32"/>
    <w:rsid w:val="00C97C25"/>
    <w:rsid w:val="00CA0478"/>
    <w:rsid w:val="00CA2806"/>
    <w:rsid w:val="00CA3B65"/>
    <w:rsid w:val="00CB0349"/>
    <w:rsid w:val="00CB3275"/>
    <w:rsid w:val="00CC04BD"/>
    <w:rsid w:val="00CC205B"/>
    <w:rsid w:val="00CC362F"/>
    <w:rsid w:val="00CC74D5"/>
    <w:rsid w:val="00CC7F56"/>
    <w:rsid w:val="00CD0D02"/>
    <w:rsid w:val="00CD21AF"/>
    <w:rsid w:val="00CE0B92"/>
    <w:rsid w:val="00CE1E95"/>
    <w:rsid w:val="00CE274A"/>
    <w:rsid w:val="00CE3AD8"/>
    <w:rsid w:val="00CF174D"/>
    <w:rsid w:val="00CF2889"/>
    <w:rsid w:val="00D0414D"/>
    <w:rsid w:val="00D052E6"/>
    <w:rsid w:val="00D06779"/>
    <w:rsid w:val="00D10DB4"/>
    <w:rsid w:val="00D11F48"/>
    <w:rsid w:val="00D207BF"/>
    <w:rsid w:val="00D2260B"/>
    <w:rsid w:val="00D25285"/>
    <w:rsid w:val="00D273A9"/>
    <w:rsid w:val="00D34AD3"/>
    <w:rsid w:val="00D402BD"/>
    <w:rsid w:val="00D43B07"/>
    <w:rsid w:val="00D4507C"/>
    <w:rsid w:val="00D472F6"/>
    <w:rsid w:val="00D500A7"/>
    <w:rsid w:val="00D50AF9"/>
    <w:rsid w:val="00D51D90"/>
    <w:rsid w:val="00D5343A"/>
    <w:rsid w:val="00D64305"/>
    <w:rsid w:val="00D67FCC"/>
    <w:rsid w:val="00D70555"/>
    <w:rsid w:val="00D70A3E"/>
    <w:rsid w:val="00D71B40"/>
    <w:rsid w:val="00D724DD"/>
    <w:rsid w:val="00D727A5"/>
    <w:rsid w:val="00D7672B"/>
    <w:rsid w:val="00DA58C2"/>
    <w:rsid w:val="00DA5D58"/>
    <w:rsid w:val="00DA6F9A"/>
    <w:rsid w:val="00DB1B02"/>
    <w:rsid w:val="00DB6026"/>
    <w:rsid w:val="00DB7B02"/>
    <w:rsid w:val="00DC046C"/>
    <w:rsid w:val="00DC46F3"/>
    <w:rsid w:val="00DC7026"/>
    <w:rsid w:val="00DC7D57"/>
    <w:rsid w:val="00DC7F37"/>
    <w:rsid w:val="00DD7FA2"/>
    <w:rsid w:val="00DE113C"/>
    <w:rsid w:val="00DE43D0"/>
    <w:rsid w:val="00DE4EB2"/>
    <w:rsid w:val="00DE5BD2"/>
    <w:rsid w:val="00DF01CB"/>
    <w:rsid w:val="00DF51B9"/>
    <w:rsid w:val="00DF7090"/>
    <w:rsid w:val="00DF7812"/>
    <w:rsid w:val="00E208AE"/>
    <w:rsid w:val="00E22B5A"/>
    <w:rsid w:val="00E23C4D"/>
    <w:rsid w:val="00E307DD"/>
    <w:rsid w:val="00E31C89"/>
    <w:rsid w:val="00E341E0"/>
    <w:rsid w:val="00E42FBE"/>
    <w:rsid w:val="00E44985"/>
    <w:rsid w:val="00E47595"/>
    <w:rsid w:val="00E56DF7"/>
    <w:rsid w:val="00E57DBB"/>
    <w:rsid w:val="00E65E76"/>
    <w:rsid w:val="00E67A61"/>
    <w:rsid w:val="00E7331A"/>
    <w:rsid w:val="00E764D2"/>
    <w:rsid w:val="00E827B7"/>
    <w:rsid w:val="00E86978"/>
    <w:rsid w:val="00E93139"/>
    <w:rsid w:val="00E97734"/>
    <w:rsid w:val="00EA0177"/>
    <w:rsid w:val="00EA41DF"/>
    <w:rsid w:val="00EC2701"/>
    <w:rsid w:val="00EC701C"/>
    <w:rsid w:val="00ED493E"/>
    <w:rsid w:val="00EE144C"/>
    <w:rsid w:val="00EE2813"/>
    <w:rsid w:val="00EE2E87"/>
    <w:rsid w:val="00EE53E6"/>
    <w:rsid w:val="00EF09D6"/>
    <w:rsid w:val="00EF1A72"/>
    <w:rsid w:val="00EF20EA"/>
    <w:rsid w:val="00EF3272"/>
    <w:rsid w:val="00EF5CA3"/>
    <w:rsid w:val="00EF7AB4"/>
    <w:rsid w:val="00EF7C84"/>
    <w:rsid w:val="00F01152"/>
    <w:rsid w:val="00F017E1"/>
    <w:rsid w:val="00F1215F"/>
    <w:rsid w:val="00F14A5B"/>
    <w:rsid w:val="00F153C9"/>
    <w:rsid w:val="00F17C4E"/>
    <w:rsid w:val="00F210AF"/>
    <w:rsid w:val="00F21E75"/>
    <w:rsid w:val="00F22B26"/>
    <w:rsid w:val="00F23D2E"/>
    <w:rsid w:val="00F23F3F"/>
    <w:rsid w:val="00F32E87"/>
    <w:rsid w:val="00F42963"/>
    <w:rsid w:val="00F47B70"/>
    <w:rsid w:val="00F5161D"/>
    <w:rsid w:val="00F60590"/>
    <w:rsid w:val="00F60C6C"/>
    <w:rsid w:val="00F63300"/>
    <w:rsid w:val="00F77649"/>
    <w:rsid w:val="00F8778B"/>
    <w:rsid w:val="00F93DEB"/>
    <w:rsid w:val="00FA1389"/>
    <w:rsid w:val="00FA1E6E"/>
    <w:rsid w:val="00FA5211"/>
    <w:rsid w:val="00FA72CE"/>
    <w:rsid w:val="00FB1278"/>
    <w:rsid w:val="00FB37E1"/>
    <w:rsid w:val="00FB7EE6"/>
    <w:rsid w:val="00FC0529"/>
    <w:rsid w:val="00FC2253"/>
    <w:rsid w:val="00FC453A"/>
    <w:rsid w:val="00FC5857"/>
    <w:rsid w:val="00FC63FB"/>
    <w:rsid w:val="00FC66E6"/>
    <w:rsid w:val="00FD3556"/>
    <w:rsid w:val="00FE02AA"/>
    <w:rsid w:val="00FE2D77"/>
    <w:rsid w:val="00FE680C"/>
    <w:rsid w:val="00FF054B"/>
    <w:rsid w:val="00FF3EFF"/>
    <w:rsid w:val="00FF3F47"/>
    <w:rsid w:val="00FF46CD"/>
    <w:rsid w:val="00FF53FC"/>
    <w:rsid w:val="00FF55B5"/>
    <w:rsid w:val="00FF6C23"/>
    <w:rsid w:val="011B5D9E"/>
    <w:rsid w:val="02B96468"/>
    <w:rsid w:val="02C24BF1"/>
    <w:rsid w:val="035937A7"/>
    <w:rsid w:val="03655CA8"/>
    <w:rsid w:val="06DD649D"/>
    <w:rsid w:val="072F4F4B"/>
    <w:rsid w:val="07DE2D8B"/>
    <w:rsid w:val="08745B19"/>
    <w:rsid w:val="0A821835"/>
    <w:rsid w:val="0B30303F"/>
    <w:rsid w:val="0BCE7613"/>
    <w:rsid w:val="0BF17A23"/>
    <w:rsid w:val="0C6A2581"/>
    <w:rsid w:val="0F056591"/>
    <w:rsid w:val="10353802"/>
    <w:rsid w:val="11AF10E3"/>
    <w:rsid w:val="121E0D58"/>
    <w:rsid w:val="12CD345A"/>
    <w:rsid w:val="1349016D"/>
    <w:rsid w:val="16BB79B6"/>
    <w:rsid w:val="18483F6C"/>
    <w:rsid w:val="189B3D4A"/>
    <w:rsid w:val="18A63D25"/>
    <w:rsid w:val="1A985FCC"/>
    <w:rsid w:val="1AAF39FC"/>
    <w:rsid w:val="1C8C6544"/>
    <w:rsid w:val="1CE7377A"/>
    <w:rsid w:val="1D216C8C"/>
    <w:rsid w:val="1D4B4E83"/>
    <w:rsid w:val="1D9D585A"/>
    <w:rsid w:val="1E647772"/>
    <w:rsid w:val="1EAC4C7B"/>
    <w:rsid w:val="1F2F35A6"/>
    <w:rsid w:val="1FCB63F3"/>
    <w:rsid w:val="212E4A3F"/>
    <w:rsid w:val="246C7E92"/>
    <w:rsid w:val="25433787"/>
    <w:rsid w:val="25F34750"/>
    <w:rsid w:val="277272C6"/>
    <w:rsid w:val="280F640A"/>
    <w:rsid w:val="28924EE2"/>
    <w:rsid w:val="29121B7F"/>
    <w:rsid w:val="291256ED"/>
    <w:rsid w:val="293C27AC"/>
    <w:rsid w:val="2B964CE9"/>
    <w:rsid w:val="2CBC0D57"/>
    <w:rsid w:val="2CFC3A3E"/>
    <w:rsid w:val="2DE956D9"/>
    <w:rsid w:val="2E0C2101"/>
    <w:rsid w:val="2E8E43E7"/>
    <w:rsid w:val="2EA8720D"/>
    <w:rsid w:val="2ECF6B10"/>
    <w:rsid w:val="2EE76884"/>
    <w:rsid w:val="2F426BD9"/>
    <w:rsid w:val="30066945"/>
    <w:rsid w:val="304C24A0"/>
    <w:rsid w:val="30C45E54"/>
    <w:rsid w:val="31CD2942"/>
    <w:rsid w:val="32D225EA"/>
    <w:rsid w:val="338950BF"/>
    <w:rsid w:val="33E462EB"/>
    <w:rsid w:val="341D1E98"/>
    <w:rsid w:val="344C063B"/>
    <w:rsid w:val="35246EC1"/>
    <w:rsid w:val="35872D16"/>
    <w:rsid w:val="37B22EAA"/>
    <w:rsid w:val="382D42DF"/>
    <w:rsid w:val="38A04AB1"/>
    <w:rsid w:val="38B467AE"/>
    <w:rsid w:val="39645624"/>
    <w:rsid w:val="39ED6B3B"/>
    <w:rsid w:val="3A053765"/>
    <w:rsid w:val="3B3913E9"/>
    <w:rsid w:val="3C0267B9"/>
    <w:rsid w:val="3EFC4A0B"/>
    <w:rsid w:val="40D52048"/>
    <w:rsid w:val="40F36398"/>
    <w:rsid w:val="410B2C87"/>
    <w:rsid w:val="41CF62FB"/>
    <w:rsid w:val="423170C2"/>
    <w:rsid w:val="42913E89"/>
    <w:rsid w:val="46D1677D"/>
    <w:rsid w:val="47861161"/>
    <w:rsid w:val="47F4705A"/>
    <w:rsid w:val="48C4659A"/>
    <w:rsid w:val="4A9E2447"/>
    <w:rsid w:val="4C06511B"/>
    <w:rsid w:val="4C697BB1"/>
    <w:rsid w:val="4DD52FF7"/>
    <w:rsid w:val="4E3F716D"/>
    <w:rsid w:val="4EE41BC3"/>
    <w:rsid w:val="4EEE63C5"/>
    <w:rsid w:val="4FBB09D8"/>
    <w:rsid w:val="4FC652ED"/>
    <w:rsid w:val="50306FB5"/>
    <w:rsid w:val="50AB3F01"/>
    <w:rsid w:val="511300BE"/>
    <w:rsid w:val="515F7B5F"/>
    <w:rsid w:val="530438BA"/>
    <w:rsid w:val="53F215D4"/>
    <w:rsid w:val="541505F1"/>
    <w:rsid w:val="5479624C"/>
    <w:rsid w:val="573D7CA0"/>
    <w:rsid w:val="58DE1302"/>
    <w:rsid w:val="593C217C"/>
    <w:rsid w:val="59A239CF"/>
    <w:rsid w:val="5A6C4CE3"/>
    <w:rsid w:val="5A96449D"/>
    <w:rsid w:val="5B353327"/>
    <w:rsid w:val="5B645BA3"/>
    <w:rsid w:val="5BB16E51"/>
    <w:rsid w:val="5C915E6B"/>
    <w:rsid w:val="5CB35A78"/>
    <w:rsid w:val="5D467A6D"/>
    <w:rsid w:val="5F5244A8"/>
    <w:rsid w:val="60D34FA6"/>
    <w:rsid w:val="640C0196"/>
    <w:rsid w:val="65C6799D"/>
    <w:rsid w:val="678837E7"/>
    <w:rsid w:val="6844104D"/>
    <w:rsid w:val="690379E2"/>
    <w:rsid w:val="6C907DD7"/>
    <w:rsid w:val="6CD75FEC"/>
    <w:rsid w:val="6CF41262"/>
    <w:rsid w:val="6D314A5D"/>
    <w:rsid w:val="70F21E96"/>
    <w:rsid w:val="71955149"/>
    <w:rsid w:val="76022B63"/>
    <w:rsid w:val="79A050F6"/>
    <w:rsid w:val="7A2C0161"/>
    <w:rsid w:val="7C0C5586"/>
    <w:rsid w:val="7C6D24C9"/>
    <w:rsid w:val="7C6D291E"/>
    <w:rsid w:val="7CDE6F23"/>
    <w:rsid w:val="7FC55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unhideWhenUsed="0" w:uiPriority="99"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center"/>
    </w:pPr>
    <w:rPr>
      <w:rFonts w:ascii="宋体" w:hAnsi="宋体" w:eastAsia="宋体" w:cs="Times New Roman"/>
      <w:b/>
      <w:bCs/>
      <w:color w:val="000000"/>
      <w:sz w:val="22"/>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val="0"/>
      <w:bCs w:val="0"/>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semiHidden/>
    <w:unhideWhenUsed/>
    <w:qFormat/>
    <w:uiPriority w:val="99"/>
    <w:pPr>
      <w:jc w:val="left"/>
    </w:pPr>
  </w:style>
  <w:style w:type="paragraph" w:styleId="4">
    <w:name w:val="Body Text"/>
    <w:basedOn w:val="1"/>
    <w:unhideWhenUsed/>
    <w:qFormat/>
    <w:uiPriority w:val="99"/>
    <w:pPr>
      <w:spacing w:after="120"/>
    </w:pPr>
  </w:style>
  <w:style w:type="paragraph" w:styleId="5">
    <w:name w:val="Balloon Text"/>
    <w:basedOn w:val="1"/>
    <w:link w:val="22"/>
    <w:semiHidden/>
    <w:unhideWhenUsed/>
    <w:qFormat/>
    <w:uiPriority w:val="99"/>
    <w:rPr>
      <w:rFonts w:ascii="Times New Roman" w:hAnsi="Times New Roman" w:eastAsia="仿宋_GB2312"/>
      <w:spacing w:val="10"/>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pPr>
    <w:rPr>
      <w:rFonts w:ascii="Times New Roman" w:hAnsi="Times New Roman"/>
      <w:sz w:val="18"/>
      <w:szCs w:val="18"/>
    </w:rPr>
  </w:style>
  <w:style w:type="paragraph" w:styleId="8">
    <w:name w:val="Normal (Web)"/>
    <w:basedOn w:val="1"/>
    <w:unhideWhenUsed/>
    <w:qFormat/>
    <w:uiPriority w:val="99"/>
    <w:pPr>
      <w:spacing w:before="100" w:beforeAutospacing="1" w:after="100" w:afterAutospacing="1"/>
      <w:jc w:val="left"/>
    </w:pPr>
    <w:rPr>
      <w:rFonts w:cs="宋体"/>
      <w:sz w:val="24"/>
      <w:szCs w:val="24"/>
    </w:rPr>
  </w:style>
  <w:style w:type="paragraph" w:styleId="9">
    <w:name w:val="annotation subject"/>
    <w:basedOn w:val="3"/>
    <w:link w:val="24"/>
    <w:semiHidden/>
    <w:unhideWhenUsed/>
    <w:qFormat/>
    <w:uiPriority w:val="99"/>
    <w:rPr>
      <w:b w:val="0"/>
      <w:bCs w:val="0"/>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800080"/>
      <w:sz w:val="20"/>
      <w:szCs w:val="20"/>
      <w:u w:val="single"/>
    </w:rPr>
  </w:style>
  <w:style w:type="character" w:styleId="15">
    <w:name w:val="Hyperlink"/>
    <w:basedOn w:val="12"/>
    <w:semiHidden/>
    <w:unhideWhenUsed/>
    <w:qFormat/>
    <w:uiPriority w:val="99"/>
    <w:rPr>
      <w:color w:val="0000FF"/>
      <w:sz w:val="20"/>
      <w:szCs w:val="20"/>
      <w:u w:val="single"/>
    </w:rPr>
  </w:style>
  <w:style w:type="character" w:styleId="16">
    <w:name w:val="annotation reference"/>
    <w:basedOn w:val="12"/>
    <w:semiHidden/>
    <w:unhideWhenUsed/>
    <w:qFormat/>
    <w:uiPriority w:val="99"/>
    <w:rPr>
      <w:sz w:val="21"/>
      <w:szCs w:val="21"/>
    </w:rPr>
  </w:style>
  <w:style w:type="paragraph" w:customStyle="1" w:styleId="17">
    <w:name w:val="tableheader"/>
    <w:basedOn w:val="1"/>
    <w:qFormat/>
    <w:uiPriority w:val="0"/>
    <w:pPr>
      <w:shd w:val="clear" w:color="auto" w:fill="ABCDEF"/>
      <w:spacing w:before="100" w:beforeAutospacing="1" w:after="100" w:afterAutospacing="1"/>
      <w:jc w:val="left"/>
    </w:pPr>
    <w:rPr>
      <w:rFonts w:cs="宋体"/>
      <w:sz w:val="24"/>
      <w:szCs w:val="24"/>
    </w:rPr>
  </w:style>
  <w:style w:type="character" w:customStyle="1" w:styleId="18">
    <w:name w:val="页眉 Char"/>
    <w:basedOn w:val="12"/>
    <w:link w:val="7"/>
    <w:qFormat/>
    <w:uiPriority w:val="0"/>
    <w:rPr>
      <w:rFonts w:ascii="Times New Roman" w:hAnsi="Times New Roman" w:eastAsia="宋体" w:cs="Times New Roman"/>
      <w:sz w:val="18"/>
      <w:szCs w:val="18"/>
    </w:rPr>
  </w:style>
  <w:style w:type="character" w:customStyle="1" w:styleId="19">
    <w:name w:val="页脚 Char"/>
    <w:basedOn w:val="12"/>
    <w:link w:val="6"/>
    <w:qFormat/>
    <w:uiPriority w:val="99"/>
    <w:rPr>
      <w:sz w:val="18"/>
      <w:szCs w:val="18"/>
    </w:rPr>
  </w:style>
  <w:style w:type="paragraph" w:customStyle="1" w:styleId="20">
    <w:name w:val="首行缩进"/>
    <w:basedOn w:val="1"/>
    <w:qFormat/>
    <w:uiPriority w:val="0"/>
    <w:pPr>
      <w:ind w:firstLine="480" w:firstLineChars="200"/>
    </w:pPr>
    <w:rPr>
      <w:rFonts w:ascii="Calibri" w:hAnsi="Calibri" w:eastAsia="仿宋"/>
      <w:sz w:val="28"/>
      <w:lang w:val="zh-CN"/>
    </w:rPr>
  </w:style>
  <w:style w:type="paragraph" w:styleId="21">
    <w:name w:val="List Paragraph"/>
    <w:basedOn w:val="1"/>
    <w:qFormat/>
    <w:uiPriority w:val="34"/>
    <w:pPr>
      <w:ind w:firstLine="420" w:firstLineChars="200"/>
    </w:pPr>
  </w:style>
  <w:style w:type="character" w:customStyle="1" w:styleId="22">
    <w:name w:val="批注框文本 Char"/>
    <w:basedOn w:val="12"/>
    <w:link w:val="5"/>
    <w:semiHidden/>
    <w:qFormat/>
    <w:uiPriority w:val="99"/>
    <w:rPr>
      <w:rFonts w:ascii="Times New Roman" w:hAnsi="Times New Roman" w:eastAsia="仿宋_GB2312" w:cs="Times New Roman"/>
      <w:spacing w:val="10"/>
      <w:sz w:val="18"/>
      <w:szCs w:val="18"/>
    </w:rPr>
  </w:style>
  <w:style w:type="character" w:customStyle="1" w:styleId="23">
    <w:name w:val="批注文字 Char"/>
    <w:basedOn w:val="12"/>
    <w:link w:val="3"/>
    <w:semiHidden/>
    <w:qFormat/>
    <w:uiPriority w:val="99"/>
  </w:style>
  <w:style w:type="character" w:customStyle="1" w:styleId="24">
    <w:name w:val="批注主题 Char"/>
    <w:basedOn w:val="23"/>
    <w:link w:val="9"/>
    <w:semiHidden/>
    <w:qFormat/>
    <w:uiPriority w:val="99"/>
    <w:rPr>
      <w:b/>
      <w:bCs/>
    </w:rPr>
  </w:style>
  <w:style w:type="character" w:customStyle="1" w:styleId="25">
    <w:name w:val="标题 1 Char"/>
    <w:basedOn w:val="12"/>
    <w:link w:val="2"/>
    <w:qFormat/>
    <w:uiPriority w:val="9"/>
    <w:rPr>
      <w:b/>
      <w:bCs/>
      <w:kern w:val="44"/>
      <w:sz w:val="44"/>
      <w:szCs w:val="44"/>
    </w:rPr>
  </w:style>
  <w:style w:type="paragraph" w:customStyle="1" w:styleId="26">
    <w:name w:val="封面标准名称"/>
    <w:qFormat/>
    <w:uiPriority w:val="0"/>
    <w:pPr>
      <w:framePr w:w="9639" w:h="6917" w:wrap="around" w:vAnchor="page" w:hAnchor="page" w:xAlign="center" w:y="6408" w:anchorLock="1"/>
      <w:widowControl w:val="0"/>
      <w:spacing w:line="680" w:lineRule="exact"/>
      <w:jc w:val="center"/>
    </w:pPr>
    <w:rPr>
      <w:rFonts w:ascii="黑体" w:hAnsi="Times New Roman" w:eastAsia="黑体" w:cs="Times New Roman"/>
      <w:sz w:val="52"/>
      <w:lang w:val="en-US" w:eastAsia="zh-CN" w:bidi="ar-SA"/>
    </w:rPr>
  </w:style>
  <w:style w:type="character" w:customStyle="1" w:styleId="27">
    <w:name w:val="font51"/>
    <w:basedOn w:val="12"/>
    <w:qFormat/>
    <w:uiPriority w:val="0"/>
    <w:rPr>
      <w:rFonts w:ascii="仿宋_GB2312" w:eastAsia="仿宋_GB2312" w:cs="仿宋_GB2312"/>
      <w:color w:val="000000"/>
      <w:sz w:val="28"/>
      <w:szCs w:val="28"/>
      <w:u w:val="none"/>
    </w:rPr>
  </w:style>
  <w:style w:type="character" w:customStyle="1" w:styleId="28">
    <w:name w:val="font21"/>
    <w:basedOn w:val="12"/>
    <w:qFormat/>
    <w:uiPriority w:val="0"/>
    <w:rPr>
      <w:rFonts w:hint="eastAsia" w:ascii="宋体" w:hAnsi="宋体" w:eastAsia="宋体" w:cs="宋体"/>
      <w:color w:val="000000"/>
      <w:sz w:val="28"/>
      <w:szCs w:val="28"/>
      <w:u w:val="none"/>
    </w:rPr>
  </w:style>
  <w:style w:type="character" w:customStyle="1" w:styleId="29">
    <w:name w:val="font31"/>
    <w:basedOn w:val="12"/>
    <w:qFormat/>
    <w:uiPriority w:val="0"/>
    <w:rPr>
      <w:rFonts w:hint="default" w:ascii="Times New Roman" w:hAnsi="Times New Roman" w:cs="Times New Roman"/>
      <w:color w:val="000000"/>
      <w:sz w:val="28"/>
      <w:szCs w:val="28"/>
      <w:u w:val="none"/>
    </w:rPr>
  </w:style>
  <w:style w:type="character" w:customStyle="1" w:styleId="30">
    <w:name w:val="font41"/>
    <w:basedOn w:val="12"/>
    <w:qFormat/>
    <w:uiPriority w:val="0"/>
    <w:rPr>
      <w:rFonts w:hint="eastAsia" w:ascii="仿宋_GB2312" w:eastAsia="仿宋_GB2312" w:cs="仿宋_GB2312"/>
      <w:color w:val="000000"/>
      <w:sz w:val="28"/>
      <w:szCs w:val="28"/>
      <w:u w:val="none"/>
    </w:rPr>
  </w:style>
  <w:style w:type="character" w:customStyle="1" w:styleId="31">
    <w:name w:val="font11"/>
    <w:basedOn w:val="12"/>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7</Pages>
  <Words>4625</Words>
  <Characters>4764</Characters>
  <Lines>377</Lines>
  <Paragraphs>305</Paragraphs>
  <TotalTime>3</TotalTime>
  <ScaleCrop>false</ScaleCrop>
  <LinksUpToDate>false</LinksUpToDate>
  <CharactersWithSpaces>4963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2025-04-14T03:30:00Z</dcterms:created>
  <dc:creator>张婷婷</dc:creator>
  <cp:lastModifiedBy>SMN</cp:lastModifiedBy>
  <dcterms:modified xsi:type="dcterms:W3CDTF">2026-09-30T06:54:51Z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D60226E99692462D8DF1064D0670C5AB_13</vt:lpwstr>
  </property>
  <property fmtid="{D5CDD505-2E9C-101B-9397-08002B2CF9AE}" pid="4" name="KSOTemplateDocerSaveRecord">
    <vt:lpwstr>eyJoZGlkIjoiNWI5MzFlZGQ1MWM5ZjJlZGU1ZDlkNWI3M2NjN2I4NDUiLCJ1c2VySWQiOiIzNDQ0ODA3MjQifQ==</vt:lpwstr>
  </property>
</Properties>
</file>