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696AEF">
      <w:pPr>
        <w:jc w:val="center"/>
        <w:rPr>
          <w:rFonts w:ascii="仿宋_GB2312" w:hAnsi="宋体" w:eastAsia="仿宋_GB2312"/>
          <w:b/>
          <w:sz w:val="30"/>
          <w:szCs w:val="30"/>
        </w:rPr>
      </w:pPr>
      <w:r>
        <w:rPr>
          <w:rFonts w:hint="eastAsia" w:ascii="仿宋_GB2312" w:hAnsi="宋体" w:eastAsia="仿宋_GB2312"/>
          <w:b/>
          <w:sz w:val="30"/>
          <w:szCs w:val="30"/>
        </w:rPr>
        <w:t>南方医科大学深圳口腔医院（坪山）</w:t>
      </w:r>
    </w:p>
    <w:p w14:paraId="7B39909E">
      <w:pPr>
        <w:jc w:val="center"/>
        <w:rPr>
          <w:rFonts w:hint="eastAsia" w:ascii="仿宋_GB2312" w:hAnsi="宋体" w:eastAsia="仿宋_GB2312"/>
          <w:b/>
          <w:sz w:val="30"/>
          <w:szCs w:val="30"/>
          <w:lang w:val="en-US" w:eastAsia="zh-CN"/>
        </w:rPr>
      </w:pPr>
      <w:r>
        <w:rPr>
          <w:rFonts w:hint="eastAsia" w:ascii="仿宋_GB2312" w:hAnsi="宋体" w:eastAsia="仿宋_GB2312"/>
          <w:b/>
          <w:sz w:val="30"/>
          <w:szCs w:val="30"/>
        </w:rPr>
        <w:t>大型高温高压灭菌器和全自动清洗机整机维保服务</w:t>
      </w:r>
      <w:r>
        <w:rPr>
          <w:rFonts w:hint="eastAsia" w:ascii="仿宋_GB2312" w:hAnsi="宋体" w:eastAsia="仿宋_GB2312"/>
          <w:b/>
          <w:sz w:val="30"/>
          <w:szCs w:val="30"/>
          <w:lang w:val="en-US" w:eastAsia="zh-CN"/>
        </w:rPr>
        <w:t>项目</w:t>
      </w:r>
    </w:p>
    <w:p w14:paraId="3C409232">
      <w:pPr>
        <w:jc w:val="center"/>
        <w:rPr>
          <w:rFonts w:ascii="仿宋_GB2312" w:hAnsi="宋体" w:eastAsia="仿宋_GB2312"/>
          <w:b/>
          <w:sz w:val="30"/>
          <w:szCs w:val="30"/>
        </w:rPr>
      </w:pPr>
      <w:r>
        <w:rPr>
          <w:rFonts w:hint="eastAsia" w:ascii="仿宋_GB2312" w:hAnsi="宋体" w:eastAsia="仿宋_GB2312"/>
          <w:b/>
          <w:sz w:val="30"/>
          <w:szCs w:val="30"/>
        </w:rPr>
        <w:t>采购需求</w:t>
      </w:r>
    </w:p>
    <w:p w14:paraId="12A60296">
      <w:pPr>
        <w:jc w:val="center"/>
        <w:rPr>
          <w:rFonts w:ascii="仿宋_GB2312" w:eastAsia="仿宋_GB2312"/>
          <w:b/>
          <w:sz w:val="28"/>
          <w:szCs w:val="32"/>
        </w:rPr>
      </w:pPr>
      <w:r>
        <w:rPr>
          <w:rFonts w:hint="eastAsia" w:ascii="仿宋_GB2312" w:hAnsi="宋体" w:eastAsia="仿宋_GB2312"/>
          <w:b/>
          <w:sz w:val="32"/>
          <w:szCs w:val="32"/>
        </w:rPr>
        <w:t>（项目编码：NFYKDSZKQ-MJQHQXJZJWB-FW-2026093023）</w:t>
      </w:r>
    </w:p>
    <w:tbl>
      <w:tblPr>
        <w:tblStyle w:val="13"/>
        <w:tblW w:w="10540" w:type="dxa"/>
        <w:jc w:val="center"/>
        <w:tblCellSpacing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15" w:type="dxa"/>
          <w:left w:w="15" w:type="dxa"/>
          <w:bottom w:w="15" w:type="dxa"/>
          <w:right w:w="15" w:type="dxa"/>
        </w:tblCellMar>
      </w:tblPr>
      <w:tblGrid>
        <w:gridCol w:w="1275"/>
        <w:gridCol w:w="4939"/>
        <w:gridCol w:w="1988"/>
        <w:gridCol w:w="2338"/>
      </w:tblGrid>
      <w:tr w14:paraId="3803D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blCellSpacing w:w="0" w:type="dxa"/>
          <w:jc w:val="center"/>
        </w:trPr>
        <w:tc>
          <w:tcPr>
            <w:tcW w:w="1275" w:type="dxa"/>
            <w:vAlign w:val="center"/>
          </w:tcPr>
          <w:p w14:paraId="4A982CA2">
            <w:pPr>
              <w:jc w:val="center"/>
              <w:rPr>
                <w:rFonts w:ascii="宋体" w:hAnsi="宋体" w:eastAsia="宋体" w:cs="宋体"/>
                <w:b/>
                <w:bCs/>
                <w:sz w:val="24"/>
                <w:szCs w:val="24"/>
              </w:rPr>
            </w:pPr>
            <w:r>
              <w:rPr>
                <w:rFonts w:hint="eastAsia" w:ascii="宋体" w:hAnsi="宋体" w:eastAsia="宋体" w:cs="宋体"/>
                <w:b/>
                <w:bCs/>
                <w:sz w:val="24"/>
                <w:szCs w:val="24"/>
              </w:rPr>
              <w:t>项目名称</w:t>
            </w:r>
          </w:p>
        </w:tc>
        <w:tc>
          <w:tcPr>
            <w:tcW w:w="4939" w:type="dxa"/>
            <w:vAlign w:val="center"/>
          </w:tcPr>
          <w:p w14:paraId="7F64B4EA">
            <w:pPr>
              <w:jc w:val="center"/>
              <w:rPr>
                <w:rFonts w:ascii="宋体" w:hAnsi="宋体" w:eastAsia="宋体" w:cs="宋体"/>
                <w:sz w:val="24"/>
                <w:szCs w:val="24"/>
              </w:rPr>
            </w:pPr>
            <w:r>
              <w:rPr>
                <w:rFonts w:hint="eastAsia" w:ascii="宋体" w:hAnsi="宋体" w:eastAsia="宋体" w:cs="宋体"/>
                <w:sz w:val="24"/>
                <w:szCs w:val="24"/>
              </w:rPr>
              <w:t>南方医科大学深圳口腔医院（坪山）大型高温高压灭菌器和全自动清洗机整机维保</w:t>
            </w:r>
            <w:r>
              <w:rPr>
                <w:rFonts w:hint="eastAsia" w:cs="宋体" w:asciiTheme="minorEastAsia" w:hAnsiTheme="minorEastAsia"/>
                <w:bCs/>
                <w:sz w:val="24"/>
                <w:szCs w:val="24"/>
              </w:rPr>
              <w:t>服务</w:t>
            </w:r>
            <w:r>
              <w:rPr>
                <w:rFonts w:hint="eastAsia" w:ascii="宋体" w:hAnsi="宋体" w:eastAsia="宋体" w:cs="宋体"/>
                <w:sz w:val="24"/>
                <w:szCs w:val="24"/>
              </w:rPr>
              <w:t>项目</w:t>
            </w:r>
          </w:p>
        </w:tc>
        <w:tc>
          <w:tcPr>
            <w:tcW w:w="1988" w:type="dxa"/>
            <w:vAlign w:val="center"/>
          </w:tcPr>
          <w:p w14:paraId="075F3990">
            <w:pPr>
              <w:jc w:val="center"/>
              <w:rPr>
                <w:rFonts w:ascii="宋体" w:hAnsi="宋体" w:eastAsia="宋体" w:cs="宋体"/>
                <w:b/>
                <w:bCs/>
                <w:sz w:val="24"/>
                <w:szCs w:val="24"/>
              </w:rPr>
            </w:pPr>
            <w:r>
              <w:rPr>
                <w:rFonts w:hint="eastAsia" w:ascii="宋体" w:hAnsi="宋体" w:eastAsia="宋体" w:cs="宋体"/>
                <w:b/>
                <w:bCs/>
                <w:sz w:val="24"/>
                <w:szCs w:val="24"/>
              </w:rPr>
              <w:t>是否预选项目</w:t>
            </w:r>
          </w:p>
        </w:tc>
        <w:tc>
          <w:tcPr>
            <w:tcW w:w="2338" w:type="dxa"/>
            <w:vAlign w:val="center"/>
          </w:tcPr>
          <w:p w14:paraId="6C78AA49">
            <w:pPr>
              <w:jc w:val="center"/>
              <w:rPr>
                <w:rFonts w:ascii="宋体" w:hAnsi="宋体" w:eastAsia="宋体" w:cs="宋体"/>
                <w:sz w:val="24"/>
                <w:szCs w:val="24"/>
              </w:rPr>
            </w:pPr>
            <w:r>
              <w:rPr>
                <w:rFonts w:hint="eastAsia" w:ascii="宋体" w:hAnsi="宋体" w:eastAsia="宋体" w:cs="宋体"/>
                <w:sz w:val="24"/>
                <w:szCs w:val="24"/>
              </w:rPr>
              <w:t>否</w:t>
            </w:r>
          </w:p>
        </w:tc>
      </w:tr>
      <w:tr w14:paraId="368C8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660" w:hRule="atLeast"/>
          <w:tblCellSpacing w:w="0" w:type="dxa"/>
          <w:jc w:val="center"/>
        </w:trPr>
        <w:tc>
          <w:tcPr>
            <w:tcW w:w="1275" w:type="dxa"/>
            <w:vAlign w:val="center"/>
          </w:tcPr>
          <w:p w14:paraId="744D0627">
            <w:pPr>
              <w:jc w:val="center"/>
              <w:rPr>
                <w:rFonts w:ascii="宋体" w:hAnsi="宋体" w:eastAsia="宋体" w:cs="宋体"/>
                <w:b/>
                <w:bCs/>
                <w:sz w:val="24"/>
                <w:szCs w:val="24"/>
              </w:rPr>
            </w:pPr>
            <w:r>
              <w:rPr>
                <w:rFonts w:hint="eastAsia" w:ascii="宋体" w:hAnsi="宋体" w:eastAsia="宋体" w:cs="宋体"/>
                <w:b/>
                <w:bCs/>
                <w:sz w:val="24"/>
                <w:szCs w:val="24"/>
              </w:rPr>
              <w:t>采购人名称</w:t>
            </w:r>
          </w:p>
        </w:tc>
        <w:tc>
          <w:tcPr>
            <w:tcW w:w="4939" w:type="dxa"/>
            <w:vAlign w:val="center"/>
          </w:tcPr>
          <w:p w14:paraId="14A22D88">
            <w:pPr>
              <w:rPr>
                <w:rFonts w:ascii="宋体" w:hAnsi="宋体" w:eastAsia="宋体" w:cs="宋体"/>
                <w:sz w:val="24"/>
                <w:szCs w:val="24"/>
              </w:rPr>
            </w:pPr>
            <w:r>
              <w:rPr>
                <w:rFonts w:hint="eastAsia" w:ascii="宋体" w:hAnsi="宋体" w:eastAsia="宋体" w:cs="宋体"/>
                <w:sz w:val="24"/>
                <w:szCs w:val="24"/>
              </w:rPr>
              <w:t>南方医科大学深圳口腔医院（坪山）</w:t>
            </w:r>
          </w:p>
        </w:tc>
        <w:tc>
          <w:tcPr>
            <w:tcW w:w="1988" w:type="dxa"/>
            <w:vAlign w:val="center"/>
          </w:tcPr>
          <w:p w14:paraId="22C1BD6A">
            <w:pPr>
              <w:jc w:val="center"/>
              <w:rPr>
                <w:rFonts w:ascii="宋体" w:hAnsi="宋体" w:eastAsia="宋体" w:cs="宋体"/>
                <w:b/>
                <w:bCs/>
                <w:sz w:val="24"/>
                <w:szCs w:val="24"/>
              </w:rPr>
            </w:pPr>
            <w:r>
              <w:rPr>
                <w:rFonts w:hint="eastAsia" w:ascii="宋体" w:hAnsi="宋体" w:eastAsia="宋体" w:cs="宋体"/>
                <w:b/>
                <w:bCs/>
                <w:sz w:val="24"/>
                <w:szCs w:val="24"/>
              </w:rPr>
              <w:t>采购方式</w:t>
            </w:r>
          </w:p>
        </w:tc>
        <w:tc>
          <w:tcPr>
            <w:tcW w:w="2338" w:type="dxa"/>
            <w:vAlign w:val="center"/>
          </w:tcPr>
          <w:p w14:paraId="3730702B">
            <w:pPr>
              <w:jc w:val="center"/>
              <w:rPr>
                <w:rFonts w:ascii="宋体" w:hAnsi="宋体" w:eastAsia="宋体" w:cs="宋体"/>
                <w:sz w:val="24"/>
                <w:szCs w:val="24"/>
              </w:rPr>
            </w:pPr>
            <w:r>
              <w:rPr>
                <w:rFonts w:hint="eastAsia" w:ascii="宋体" w:hAnsi="宋体" w:eastAsia="宋体" w:cs="宋体"/>
                <w:sz w:val="24"/>
                <w:szCs w:val="24"/>
                <w:lang w:val="en-US" w:eastAsia="zh-CN"/>
              </w:rPr>
              <w:t>公开</w:t>
            </w:r>
            <w:r>
              <w:rPr>
                <w:rFonts w:hint="eastAsia" w:ascii="宋体" w:hAnsi="宋体" w:eastAsia="宋体" w:cs="宋体"/>
                <w:sz w:val="24"/>
                <w:szCs w:val="24"/>
              </w:rPr>
              <w:t>询价</w:t>
            </w:r>
          </w:p>
        </w:tc>
      </w:tr>
      <w:tr w14:paraId="45F8C3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blCellSpacing w:w="0" w:type="dxa"/>
          <w:jc w:val="center"/>
        </w:trPr>
        <w:tc>
          <w:tcPr>
            <w:tcW w:w="1275" w:type="dxa"/>
            <w:vAlign w:val="center"/>
          </w:tcPr>
          <w:p w14:paraId="6C819CAA">
            <w:pPr>
              <w:jc w:val="center"/>
              <w:rPr>
                <w:rFonts w:ascii="宋体" w:hAnsi="宋体" w:eastAsia="宋体" w:cs="宋体"/>
                <w:b/>
                <w:bCs/>
                <w:sz w:val="24"/>
                <w:szCs w:val="24"/>
              </w:rPr>
            </w:pPr>
            <w:r>
              <w:rPr>
                <w:rFonts w:hint="eastAsia" w:ascii="宋体" w:hAnsi="宋体" w:eastAsia="宋体" w:cs="宋体"/>
                <w:b/>
                <w:bCs/>
                <w:sz w:val="24"/>
                <w:szCs w:val="24"/>
              </w:rPr>
              <w:t>预算限额（元）</w:t>
            </w:r>
          </w:p>
        </w:tc>
        <w:tc>
          <w:tcPr>
            <w:tcW w:w="9265" w:type="dxa"/>
            <w:gridSpan w:val="3"/>
            <w:vAlign w:val="center"/>
          </w:tcPr>
          <w:p w14:paraId="60241488">
            <w:pPr>
              <w:jc w:val="left"/>
              <w:rPr>
                <w:rFonts w:ascii="宋体" w:hAnsi="宋体" w:eastAsia="宋体" w:cs="宋体"/>
                <w:sz w:val="24"/>
                <w:szCs w:val="24"/>
              </w:rPr>
            </w:pPr>
            <w:r>
              <w:rPr>
                <w:rFonts w:hint="eastAsia" w:ascii="宋体" w:hAnsi="宋体" w:eastAsia="宋体" w:cs="宋体"/>
                <w:sz w:val="24"/>
                <w:szCs w:val="24"/>
              </w:rPr>
              <w:t>95000元(玖万伍仟元整）</w:t>
            </w:r>
          </w:p>
        </w:tc>
      </w:tr>
      <w:tr w14:paraId="5BAFF2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842" w:hRule="atLeast"/>
          <w:tblCellSpacing w:w="0" w:type="dxa"/>
          <w:jc w:val="center"/>
        </w:trPr>
        <w:tc>
          <w:tcPr>
            <w:tcW w:w="1275" w:type="dxa"/>
            <w:vAlign w:val="center"/>
          </w:tcPr>
          <w:p w14:paraId="67333B09">
            <w:pPr>
              <w:jc w:val="center"/>
              <w:rPr>
                <w:rFonts w:ascii="宋体" w:hAnsi="宋体" w:eastAsia="宋体" w:cs="宋体"/>
                <w:sz w:val="24"/>
                <w:szCs w:val="24"/>
              </w:rPr>
            </w:pPr>
            <w:r>
              <w:rPr>
                <w:rFonts w:hint="eastAsia" w:ascii="宋体" w:hAnsi="宋体" w:eastAsia="宋体" w:cs="宋体"/>
                <w:b/>
                <w:bCs/>
                <w:sz w:val="24"/>
                <w:szCs w:val="24"/>
              </w:rPr>
              <w:t>项目背景</w:t>
            </w:r>
          </w:p>
        </w:tc>
        <w:tc>
          <w:tcPr>
            <w:tcW w:w="9265" w:type="dxa"/>
            <w:gridSpan w:val="3"/>
            <w:vAlign w:val="center"/>
          </w:tcPr>
          <w:p w14:paraId="1F664DD6">
            <w:pPr>
              <w:ind w:firstLine="480" w:firstLineChars="200"/>
              <w:jc w:val="left"/>
              <w:rPr>
                <w:rFonts w:ascii="宋体" w:hAnsi="宋体" w:eastAsia="宋体" w:cs="宋体"/>
                <w:sz w:val="24"/>
                <w:szCs w:val="24"/>
              </w:rPr>
            </w:pPr>
            <w:r>
              <w:rPr>
                <w:rFonts w:hint="eastAsia" w:cs="宋体" w:asciiTheme="minorEastAsia" w:hAnsiTheme="minorEastAsia"/>
                <w:bCs/>
                <w:sz w:val="24"/>
                <w:szCs w:val="24"/>
              </w:rPr>
              <w:t>现有大型高温高压灭菌器和清洗机各两台，采购时间为2019年3月份，按照医院开业时间2020年6月份使用计算，至今设备已使用六年左右，其中灭菌器为高温高压特种设备。现在四台设备均是满负荷运行，清洗机每天每台约4-5次运行工作，每次运行时间为1.5小时；高温高压灭菌器每天每台按照4-5次运行工作，每次运行时间为1小时。两台设备承担着全院所有器械的清洗消毒功能，维修成本和故障频率在逐年上涨，其中2024年四台设备维修维护费用合计7.75万元，2025年设备维修维护费用为13.04万元。为保障设备正常运行，提高设备使用效率和质量，加强设备预防性维护。根据科室实际需求以及前期调研，按照整机维保服务提交采购需求。</w:t>
            </w:r>
          </w:p>
        </w:tc>
      </w:tr>
      <w:tr w14:paraId="57E58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90" w:hRule="atLeast"/>
          <w:tblCellSpacing w:w="0" w:type="dxa"/>
          <w:jc w:val="center"/>
        </w:trPr>
        <w:tc>
          <w:tcPr>
            <w:tcW w:w="1275" w:type="dxa"/>
            <w:vAlign w:val="center"/>
          </w:tcPr>
          <w:p w14:paraId="082551B5">
            <w:pPr>
              <w:jc w:val="center"/>
              <w:rPr>
                <w:rFonts w:ascii="宋体" w:hAnsi="宋体" w:eastAsia="宋体" w:cs="宋体"/>
                <w:sz w:val="24"/>
                <w:szCs w:val="24"/>
              </w:rPr>
            </w:pPr>
            <w:r>
              <w:rPr>
                <w:rFonts w:hint="eastAsia" w:ascii="宋体" w:hAnsi="宋体" w:eastAsia="宋体" w:cs="宋体"/>
                <w:b/>
                <w:bCs/>
                <w:sz w:val="24"/>
                <w:szCs w:val="24"/>
              </w:rPr>
              <w:t>维保设备清单要求</w:t>
            </w:r>
          </w:p>
        </w:tc>
        <w:tc>
          <w:tcPr>
            <w:tcW w:w="9265" w:type="dxa"/>
            <w:gridSpan w:val="3"/>
            <w:vAlign w:val="center"/>
          </w:tcPr>
          <w:tbl>
            <w:tblPr>
              <w:tblStyle w:val="13"/>
              <w:tblpPr w:leftFromText="180" w:rightFromText="180" w:vertAnchor="text" w:horzAnchor="page" w:tblpX="223" w:tblpY="-2117"/>
              <w:tblW w:w="91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897"/>
              <w:gridCol w:w="1416"/>
              <w:gridCol w:w="747"/>
              <w:gridCol w:w="572"/>
              <w:gridCol w:w="857"/>
              <w:gridCol w:w="1619"/>
              <w:gridCol w:w="1615"/>
            </w:tblGrid>
            <w:tr w14:paraId="6613F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251" w:type="pct"/>
                  <w:vAlign w:val="center"/>
                </w:tcPr>
                <w:p w14:paraId="26D5A92F">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序号</w:t>
                  </w:r>
                </w:p>
              </w:tc>
              <w:tc>
                <w:tcPr>
                  <w:tcW w:w="1054" w:type="pct"/>
                  <w:vAlign w:val="center"/>
                </w:tcPr>
                <w:p w14:paraId="66E1A420">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采购项目名称</w:t>
                  </w:r>
                </w:p>
              </w:tc>
              <w:tc>
                <w:tcPr>
                  <w:tcW w:w="690" w:type="pct"/>
                  <w:vAlign w:val="center"/>
                </w:tcPr>
                <w:p w14:paraId="2CF7C0BD">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品牌、型号</w:t>
                  </w:r>
                </w:p>
              </w:tc>
              <w:tc>
                <w:tcPr>
                  <w:tcW w:w="419" w:type="pct"/>
                  <w:vAlign w:val="center"/>
                </w:tcPr>
                <w:p w14:paraId="4AD8BF1F">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数量</w:t>
                  </w:r>
                </w:p>
              </w:tc>
              <w:tc>
                <w:tcPr>
                  <w:tcW w:w="323" w:type="pct"/>
                  <w:vAlign w:val="center"/>
                </w:tcPr>
                <w:p w14:paraId="69B996F5">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单位</w:t>
                  </w:r>
                </w:p>
              </w:tc>
              <w:tc>
                <w:tcPr>
                  <w:tcW w:w="478" w:type="pct"/>
                  <w:vAlign w:val="center"/>
                </w:tcPr>
                <w:p w14:paraId="4FEACDE0">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维保情况</w:t>
                  </w:r>
                </w:p>
              </w:tc>
              <w:tc>
                <w:tcPr>
                  <w:tcW w:w="891" w:type="pct"/>
                  <w:vAlign w:val="center"/>
                </w:tcPr>
                <w:p w14:paraId="3FD96147">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整机维保单价限额（元/台）</w:t>
                  </w:r>
                </w:p>
              </w:tc>
              <w:tc>
                <w:tcPr>
                  <w:tcW w:w="891" w:type="pct"/>
                  <w:shd w:val="clear" w:color="auto" w:fill="auto"/>
                  <w:vAlign w:val="center"/>
                </w:tcPr>
                <w:p w14:paraId="791451F0">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整机维保总金额限额（元）</w:t>
                  </w:r>
                </w:p>
              </w:tc>
            </w:tr>
            <w:tr w14:paraId="663D9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251" w:type="pct"/>
                  <w:vAlign w:val="center"/>
                </w:tcPr>
                <w:p w14:paraId="21760EAB">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054" w:type="pct"/>
                  <w:vAlign w:val="center"/>
                </w:tcPr>
                <w:p w14:paraId="46574910">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大型高温高压灭菌器维保</w:t>
                  </w:r>
                </w:p>
              </w:tc>
              <w:tc>
                <w:tcPr>
                  <w:tcW w:w="690" w:type="pct"/>
                  <w:vAlign w:val="center"/>
                </w:tcPr>
                <w:p w14:paraId="06ACF7A5">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洁定、HS 66-13-1(2)</w:t>
                  </w:r>
                </w:p>
              </w:tc>
              <w:tc>
                <w:tcPr>
                  <w:tcW w:w="419" w:type="pct"/>
                  <w:vAlign w:val="center"/>
                </w:tcPr>
                <w:p w14:paraId="4DEA50E4">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23" w:type="pct"/>
                  <w:vAlign w:val="center"/>
                </w:tcPr>
                <w:p w14:paraId="7F910783">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台</w:t>
                  </w:r>
                </w:p>
              </w:tc>
              <w:tc>
                <w:tcPr>
                  <w:tcW w:w="478" w:type="pct"/>
                  <w:vAlign w:val="center"/>
                </w:tcPr>
                <w:p w14:paraId="3DD2C5ED">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整机维保</w:t>
                  </w:r>
                </w:p>
              </w:tc>
              <w:tc>
                <w:tcPr>
                  <w:tcW w:w="891" w:type="pct"/>
                  <w:vAlign w:val="center"/>
                </w:tcPr>
                <w:p w14:paraId="690C7F7E">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28000</w:t>
                  </w:r>
                </w:p>
              </w:tc>
              <w:tc>
                <w:tcPr>
                  <w:tcW w:w="891" w:type="pct"/>
                  <w:shd w:val="clear" w:color="auto" w:fill="auto"/>
                  <w:vAlign w:val="center"/>
                </w:tcPr>
                <w:p w14:paraId="3E71B70A">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56000</w:t>
                  </w:r>
                </w:p>
              </w:tc>
            </w:tr>
            <w:tr w14:paraId="78C2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251" w:type="pct"/>
                  <w:vAlign w:val="center"/>
                </w:tcPr>
                <w:p w14:paraId="4896E80F">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054" w:type="pct"/>
                  <w:vAlign w:val="center"/>
                </w:tcPr>
                <w:p w14:paraId="5DB476DC">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全自动清洗机维保</w:t>
                  </w:r>
                </w:p>
              </w:tc>
              <w:tc>
                <w:tcPr>
                  <w:tcW w:w="690" w:type="pct"/>
                  <w:vAlign w:val="center"/>
                </w:tcPr>
                <w:p w14:paraId="16958DD1">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洁定、46-5-1（2）</w:t>
                  </w:r>
                </w:p>
              </w:tc>
              <w:tc>
                <w:tcPr>
                  <w:tcW w:w="419" w:type="pct"/>
                  <w:vAlign w:val="center"/>
                </w:tcPr>
                <w:p w14:paraId="4C07156D">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23" w:type="pct"/>
                  <w:vAlign w:val="center"/>
                </w:tcPr>
                <w:p w14:paraId="5A0132D7">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台</w:t>
                  </w:r>
                </w:p>
              </w:tc>
              <w:tc>
                <w:tcPr>
                  <w:tcW w:w="478" w:type="pct"/>
                  <w:vAlign w:val="center"/>
                </w:tcPr>
                <w:p w14:paraId="0D6C7467">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整机维保</w:t>
                  </w:r>
                </w:p>
              </w:tc>
              <w:tc>
                <w:tcPr>
                  <w:tcW w:w="891" w:type="pct"/>
                  <w:vAlign w:val="center"/>
                </w:tcPr>
                <w:p w14:paraId="5FF35B82">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19500</w:t>
                  </w:r>
                </w:p>
              </w:tc>
              <w:tc>
                <w:tcPr>
                  <w:tcW w:w="891" w:type="pct"/>
                  <w:shd w:val="clear" w:color="auto" w:fill="auto"/>
                  <w:vAlign w:val="center"/>
                </w:tcPr>
                <w:p w14:paraId="6E667556">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39000</w:t>
                  </w:r>
                </w:p>
              </w:tc>
            </w:tr>
            <w:tr w14:paraId="334F8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4108" w:type="pct"/>
                  <w:gridSpan w:val="7"/>
                  <w:vAlign w:val="center"/>
                </w:tcPr>
                <w:p w14:paraId="3673487F">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891" w:type="pct"/>
                  <w:shd w:val="clear" w:color="auto" w:fill="auto"/>
                  <w:vAlign w:val="center"/>
                </w:tcPr>
                <w:p w14:paraId="21D75878">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95000</w:t>
                  </w:r>
                </w:p>
              </w:tc>
            </w:tr>
          </w:tbl>
          <w:p w14:paraId="6F381D45">
            <w:pPr>
              <w:ind w:firstLine="480" w:firstLineChars="200"/>
              <w:rPr>
                <w:rFonts w:ascii="宋体" w:hAnsi="宋体" w:eastAsia="宋体" w:cs="宋体"/>
                <w:sz w:val="24"/>
                <w:szCs w:val="24"/>
              </w:rPr>
            </w:pPr>
          </w:p>
        </w:tc>
      </w:tr>
      <w:tr w14:paraId="0EF65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90" w:hRule="atLeast"/>
          <w:tblCellSpacing w:w="0" w:type="dxa"/>
          <w:jc w:val="center"/>
        </w:trPr>
        <w:tc>
          <w:tcPr>
            <w:tcW w:w="1275" w:type="dxa"/>
            <w:vAlign w:val="center"/>
          </w:tcPr>
          <w:p w14:paraId="177A8AB8">
            <w:pPr>
              <w:spacing w:line="360" w:lineRule="auto"/>
              <w:jc w:val="center"/>
              <w:rPr>
                <w:rFonts w:ascii="宋体" w:hAnsi="宋体" w:eastAsia="宋体" w:cs="宋体"/>
                <w:sz w:val="24"/>
                <w:szCs w:val="24"/>
              </w:rPr>
            </w:pPr>
            <w:r>
              <w:rPr>
                <w:rFonts w:hint="eastAsia" w:ascii="宋体" w:hAnsi="宋体" w:eastAsia="宋体" w:cs="宋体"/>
                <w:b/>
                <w:bCs/>
                <w:kern w:val="0"/>
                <w:sz w:val="24"/>
                <w:szCs w:val="24"/>
              </w:rPr>
              <w:t>供应商资质要求</w:t>
            </w:r>
          </w:p>
        </w:tc>
        <w:tc>
          <w:tcPr>
            <w:tcW w:w="9265" w:type="dxa"/>
            <w:gridSpan w:val="3"/>
            <w:vAlign w:val="center"/>
          </w:tcPr>
          <w:p w14:paraId="1E3805A2">
            <w:pPr>
              <w:ind w:firstLine="480" w:firstLineChars="200"/>
              <w:jc w:val="left"/>
              <w:rPr>
                <w:rFonts w:cs="宋体" w:asciiTheme="minorEastAsia" w:hAnsiTheme="minorEastAsia"/>
                <w:bCs/>
                <w:sz w:val="24"/>
                <w:szCs w:val="24"/>
              </w:rPr>
            </w:pPr>
            <w:r>
              <w:rPr>
                <w:rFonts w:hint="eastAsia" w:cs="宋体" w:asciiTheme="minorEastAsia" w:hAnsiTheme="minorEastAsia"/>
                <w:bCs/>
                <w:sz w:val="24"/>
                <w:szCs w:val="24"/>
              </w:rPr>
              <w:t>1）具有独立法人资格或是具有独立承担民事责任能力的其它组织（提供营业执照原件扫描件并加盖供应商公章）。</w:t>
            </w:r>
          </w:p>
          <w:p w14:paraId="355C5DEB">
            <w:pPr>
              <w:ind w:firstLine="480" w:firstLineChars="200"/>
              <w:jc w:val="left"/>
              <w:rPr>
                <w:rFonts w:cs="宋体" w:asciiTheme="minorEastAsia" w:hAnsiTheme="minorEastAsia"/>
                <w:bCs/>
                <w:sz w:val="24"/>
                <w:szCs w:val="24"/>
              </w:rPr>
            </w:pPr>
            <w:r>
              <w:rPr>
                <w:rFonts w:hint="eastAsia" w:cs="宋体" w:asciiTheme="minorEastAsia" w:hAnsiTheme="minorEastAsia"/>
                <w:bCs/>
                <w:sz w:val="24"/>
                <w:szCs w:val="24"/>
              </w:rPr>
              <w:t>2）本项目不接受联合体参与投标，不允许分包转包，标注“拒绝进口”的仅接受使用国产产品参与投标，标注“允许进口”的则接受使用进口或国产产品参与投标(由供应商在《政府采购投标及履约承诺函》中做出声明）。</w:t>
            </w:r>
          </w:p>
          <w:p w14:paraId="4CBB3D7D">
            <w:pPr>
              <w:ind w:firstLine="480" w:firstLineChars="200"/>
              <w:jc w:val="left"/>
              <w:rPr>
                <w:rFonts w:cs="宋体" w:asciiTheme="minorEastAsia" w:hAnsiTheme="minorEastAsia"/>
                <w:bCs/>
                <w:sz w:val="24"/>
                <w:szCs w:val="24"/>
              </w:rPr>
            </w:pPr>
            <w:r>
              <w:rPr>
                <w:rFonts w:hint="eastAsia" w:cs="宋体" w:asciiTheme="minorEastAsia" w:hAnsiTheme="minorEastAsia"/>
                <w:bCs/>
                <w:sz w:val="24"/>
                <w:szCs w:val="24"/>
              </w:rPr>
              <w:t>3）供应商近三年内无行贿犯罪记录（由供应商在《政府采购投标及履约承诺函》中做出声明）。</w:t>
            </w:r>
          </w:p>
          <w:p w14:paraId="39A4488B">
            <w:pPr>
              <w:pStyle w:val="2"/>
              <w:rPr>
                <w:rFonts w:hint="eastAsia" w:cs="宋体" w:asciiTheme="minorEastAsia" w:hAnsiTheme="minorEastAsia" w:eastAsiaTheme="minorEastAsia"/>
                <w:bCs/>
                <w:kern w:val="2"/>
                <w:sz w:val="24"/>
                <w:szCs w:val="24"/>
                <w:lang w:val="en-US" w:eastAsia="zh-CN" w:bidi="ar-SA"/>
              </w:rPr>
            </w:pPr>
            <w:bookmarkStart w:id="1" w:name="_GoBack"/>
            <w:bookmarkEnd w:id="1"/>
            <w:r>
              <w:rPr>
                <w:rFonts w:hint="eastAsia" w:cs="宋体" w:asciiTheme="minorEastAsia" w:hAnsiTheme="minorEastAsia" w:eastAsiaTheme="minorEastAsia"/>
                <w:bCs/>
                <w:kern w:val="2"/>
                <w:sz w:val="24"/>
                <w:szCs w:val="24"/>
                <w:lang w:val="en-US" w:eastAsia="zh-CN" w:bidi="ar-SA"/>
              </w:rPr>
              <w:t>4）符合财政部和深圳市财政委员会关于诚信管理的要求，投标人通过查询“信用中国"网站(www.creditchinagov.cn)没有以下任意记录名单之一:①记录失信被执行人;②重大税收违法案件当事人名单;③政府采购严重违法失信行为;中国政府采购网(http://www.ccgp.gov.cn)不处于“政府采购严重违法失信行为信息记录"中的禁止参加政府采购活动期间;在深圳市政府采购监管网(http://zfcg.sz.gov.cn/)查询相关主体信用记录（诚信档案），对不符合《中华人民共和国政府采购法》第二十二条规定条件的供应商，将取消其参与本次报价的资格(截图加盖公章)；</w:t>
            </w:r>
          </w:p>
          <w:p w14:paraId="6F09E3B0">
            <w:pPr>
              <w:ind w:firstLine="480" w:firstLineChars="200"/>
              <w:jc w:val="left"/>
              <w:rPr>
                <w:rFonts w:cs="宋体" w:asciiTheme="minorEastAsia" w:hAnsiTheme="minorEastAsia"/>
                <w:bCs/>
                <w:sz w:val="24"/>
                <w:szCs w:val="24"/>
              </w:rPr>
            </w:pPr>
            <w:r>
              <w:rPr>
                <w:rFonts w:hint="eastAsia" w:cs="宋体" w:asciiTheme="minorEastAsia" w:hAnsiTheme="minorEastAsia"/>
                <w:bCs/>
                <w:sz w:val="24"/>
                <w:szCs w:val="24"/>
              </w:rPr>
              <w:t>说明:所有供应商的以上信用信息查询记录和证据留存的具体方式为打印网页截图，信用信息查询记录及相关证据将作为项目档案材料一并保存。</w:t>
            </w:r>
          </w:p>
          <w:p w14:paraId="2B5DD221">
            <w:pPr>
              <w:ind w:firstLine="480" w:firstLineChars="200"/>
              <w:jc w:val="left"/>
              <w:rPr>
                <w:rFonts w:cs="宋体" w:asciiTheme="minorEastAsia" w:hAnsiTheme="minorEastAsia"/>
                <w:bCs/>
                <w:sz w:val="24"/>
                <w:szCs w:val="24"/>
              </w:rPr>
            </w:pPr>
            <w:r>
              <w:rPr>
                <w:rFonts w:hint="eastAsia" w:cs="宋体" w:asciiTheme="minorEastAsia" w:hAnsiTheme="minorEastAsia"/>
                <w:bCs/>
                <w:sz w:val="24"/>
                <w:szCs w:val="24"/>
              </w:rPr>
              <w:t>5）参与本项目政府采购活动时不存在被有关部门禁止参与政府采购活动且在有效期内的情况（由供应商在《政府采购投标及履约承诺函》中做出声明）。</w:t>
            </w:r>
          </w:p>
          <w:p w14:paraId="641025EA">
            <w:pPr>
              <w:ind w:firstLine="480" w:firstLineChars="200"/>
              <w:jc w:val="left"/>
              <w:rPr>
                <w:rFonts w:hint="eastAsia" w:ascii="宋体" w:hAnsi="宋体" w:cs="宋体" w:eastAsiaTheme="minorEastAsia"/>
                <w:kern w:val="0"/>
                <w:sz w:val="24"/>
                <w:szCs w:val="24"/>
                <w:lang w:val="en-US" w:eastAsia="zh-CN"/>
              </w:rPr>
            </w:pPr>
            <w:r>
              <w:rPr>
                <w:rFonts w:hint="eastAsia" w:cs="宋体" w:asciiTheme="minorEastAsia" w:hAnsiTheme="minorEastAsia"/>
                <w:bCs/>
                <w:sz w:val="24"/>
                <w:szCs w:val="24"/>
              </w:rPr>
              <w:t>6）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的报价（由供应商填写《供应商基本情况表》相关信息）。</w:t>
            </w:r>
          </w:p>
        </w:tc>
      </w:tr>
      <w:tr w14:paraId="75EB25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3751" w:hRule="atLeast"/>
          <w:tblCellSpacing w:w="0" w:type="dxa"/>
          <w:jc w:val="center"/>
        </w:trPr>
        <w:tc>
          <w:tcPr>
            <w:tcW w:w="1275" w:type="dxa"/>
            <w:vAlign w:val="center"/>
          </w:tcPr>
          <w:p w14:paraId="4C3A21FF">
            <w:pPr>
              <w:rPr>
                <w:rFonts w:ascii="宋体" w:hAnsi="宋体" w:eastAsia="宋体" w:cs="宋体"/>
                <w:sz w:val="24"/>
                <w:szCs w:val="24"/>
              </w:rPr>
            </w:pPr>
            <w:bookmarkStart w:id="0" w:name="_Hlk132703410"/>
            <w:r>
              <w:rPr>
                <w:rFonts w:hint="eastAsia" w:ascii="宋体" w:hAnsi="宋体" w:eastAsia="宋体" w:cs="宋体"/>
                <w:sz w:val="24"/>
                <w:szCs w:val="24"/>
              </w:rPr>
              <w:t>服务需求</w:t>
            </w:r>
          </w:p>
        </w:tc>
        <w:tc>
          <w:tcPr>
            <w:tcW w:w="9265" w:type="dxa"/>
            <w:gridSpan w:val="3"/>
            <w:vAlign w:val="center"/>
          </w:tcPr>
          <w:p w14:paraId="4707D5D0">
            <w:pPr>
              <w:ind w:firstLine="480" w:firstLineChars="200"/>
              <w:jc w:val="left"/>
              <w:rPr>
                <w:rFonts w:cs="宋体" w:asciiTheme="minorEastAsia" w:hAnsiTheme="minorEastAsia"/>
                <w:bCs/>
                <w:sz w:val="24"/>
                <w:szCs w:val="24"/>
              </w:rPr>
            </w:pPr>
            <w:r>
              <w:rPr>
                <w:rFonts w:hint="eastAsia" w:cs="宋体" w:asciiTheme="minorEastAsia" w:hAnsiTheme="minorEastAsia"/>
                <w:bCs/>
                <w:sz w:val="24"/>
                <w:szCs w:val="24"/>
              </w:rPr>
              <w:t>灭菌器和清洗机整机维保服务：</w:t>
            </w:r>
          </w:p>
          <w:p w14:paraId="5CEF865D">
            <w:pPr>
              <w:ind w:firstLine="480" w:firstLineChars="200"/>
              <w:jc w:val="left"/>
              <w:rPr>
                <w:rFonts w:cs="宋体" w:asciiTheme="minorEastAsia" w:hAnsiTheme="minorEastAsia"/>
                <w:bCs/>
                <w:sz w:val="24"/>
                <w:szCs w:val="24"/>
              </w:rPr>
            </w:pPr>
            <w:r>
              <w:rPr>
                <w:rFonts w:hint="eastAsia" w:cs="宋体" w:asciiTheme="minorEastAsia" w:hAnsiTheme="minorEastAsia"/>
                <w:bCs/>
                <w:sz w:val="24"/>
                <w:szCs w:val="24"/>
              </w:rPr>
              <w:t>1、维修要求</w:t>
            </w:r>
          </w:p>
          <w:p w14:paraId="66B9F68E">
            <w:pPr>
              <w:ind w:firstLine="480" w:firstLineChars="200"/>
              <w:jc w:val="left"/>
              <w:rPr>
                <w:rFonts w:cs="宋体" w:asciiTheme="minorEastAsia" w:hAnsiTheme="minorEastAsia"/>
                <w:bCs/>
                <w:sz w:val="24"/>
                <w:szCs w:val="24"/>
              </w:rPr>
            </w:pPr>
            <w:r>
              <w:rPr>
                <w:rFonts w:hint="eastAsia" w:cs="宋体" w:asciiTheme="minorEastAsia" w:hAnsiTheme="minorEastAsia"/>
                <w:bCs/>
                <w:sz w:val="24"/>
                <w:szCs w:val="24"/>
              </w:rPr>
              <w:t>★（1）设备厂家提供 7×24 小时服务热线，在接到报修电话后 2 小时内响应，工程师先通过电话指导设备使用人员或医院维修工程师处理故障；如设备使用人员或医院维修工程师无法处理，技术工程师在接到报修电话后4 小时内到达现场进行维修，48小时内完成设备检修排除故障（国家法定节假日除外）。</w:t>
            </w:r>
          </w:p>
          <w:p w14:paraId="5133D7D8">
            <w:pPr>
              <w:ind w:firstLine="480" w:firstLineChars="200"/>
              <w:jc w:val="left"/>
              <w:rPr>
                <w:rFonts w:cs="宋体" w:asciiTheme="minorEastAsia" w:hAnsiTheme="minorEastAsia"/>
                <w:bCs/>
                <w:sz w:val="24"/>
                <w:szCs w:val="24"/>
              </w:rPr>
            </w:pPr>
            <w:r>
              <w:rPr>
                <w:rFonts w:hint="eastAsia" w:cs="宋体" w:asciiTheme="minorEastAsia" w:hAnsiTheme="minorEastAsia"/>
                <w:bCs/>
                <w:sz w:val="24"/>
                <w:szCs w:val="24"/>
              </w:rPr>
              <w:t>★（2）对于无需更换零配件（耗材）的故障，技术工程师在收到报修电话后 24 小时内消除故障；对于需要更换零配件（耗材）的故障，技术工程师及时告知零配件（耗材）到货及更换时间、预期消除故障时间，在48小时内消除故障。</w:t>
            </w:r>
          </w:p>
          <w:p w14:paraId="4FFBB7B7">
            <w:pPr>
              <w:ind w:firstLine="480" w:firstLineChars="200"/>
              <w:jc w:val="left"/>
              <w:rPr>
                <w:rFonts w:cs="宋体" w:asciiTheme="minorEastAsia" w:hAnsiTheme="minorEastAsia"/>
                <w:bCs/>
                <w:sz w:val="24"/>
                <w:szCs w:val="24"/>
              </w:rPr>
            </w:pPr>
            <w:r>
              <w:rPr>
                <w:rFonts w:hint="eastAsia" w:cs="宋体" w:asciiTheme="minorEastAsia" w:hAnsiTheme="minorEastAsia"/>
                <w:bCs/>
                <w:sz w:val="24"/>
                <w:szCs w:val="24"/>
              </w:rPr>
              <w:t>★（3）对于整机所有零配件（耗材）更换均在服务内容中，不加收其他任何费用；更换配件均为全新件。</w:t>
            </w:r>
          </w:p>
          <w:p w14:paraId="09392A6E">
            <w:pPr>
              <w:ind w:firstLine="480" w:firstLineChars="200"/>
              <w:jc w:val="left"/>
              <w:rPr>
                <w:rFonts w:cs="宋体" w:asciiTheme="minorEastAsia" w:hAnsiTheme="minorEastAsia"/>
                <w:bCs/>
                <w:sz w:val="24"/>
                <w:szCs w:val="24"/>
              </w:rPr>
            </w:pPr>
            <w:r>
              <w:rPr>
                <w:rFonts w:hint="eastAsia" w:cs="宋体" w:asciiTheme="minorEastAsia" w:hAnsiTheme="minorEastAsia"/>
                <w:bCs/>
                <w:sz w:val="24"/>
                <w:szCs w:val="24"/>
              </w:rPr>
              <w:t>★（4）设备腔体或骨架（结构性损坏）、清洗架、灭菌装卸载层架、装载车骨架如发生穿孔、断裂、脱焊、严重金属疲劳与磨损，应尽可能焊接修复，不能焊接的需整体更换。</w:t>
            </w:r>
          </w:p>
          <w:p w14:paraId="48BFC5A4">
            <w:pPr>
              <w:ind w:firstLine="480" w:firstLineChars="200"/>
              <w:jc w:val="left"/>
              <w:rPr>
                <w:rFonts w:cs="宋体" w:asciiTheme="minorEastAsia" w:hAnsiTheme="minorEastAsia"/>
                <w:bCs/>
                <w:sz w:val="24"/>
                <w:szCs w:val="24"/>
              </w:rPr>
            </w:pPr>
            <w:r>
              <w:rPr>
                <w:rFonts w:hint="eastAsia" w:cs="宋体" w:asciiTheme="minorEastAsia" w:hAnsiTheme="minorEastAsia"/>
                <w:bCs/>
                <w:sz w:val="24"/>
                <w:szCs w:val="24"/>
              </w:rPr>
              <w:t>（5）服务期内，设备厂家工程师提供不限次数的现场维修服务。</w:t>
            </w:r>
          </w:p>
          <w:p w14:paraId="28C56441">
            <w:pPr>
              <w:ind w:firstLine="480" w:firstLineChars="200"/>
              <w:jc w:val="left"/>
              <w:rPr>
                <w:rFonts w:cs="宋体" w:asciiTheme="minorEastAsia" w:hAnsiTheme="minorEastAsia"/>
                <w:bCs/>
                <w:sz w:val="24"/>
                <w:szCs w:val="24"/>
              </w:rPr>
            </w:pPr>
            <w:r>
              <w:rPr>
                <w:rFonts w:hint="eastAsia" w:cs="宋体" w:asciiTheme="minorEastAsia" w:hAnsiTheme="minorEastAsia"/>
                <w:bCs/>
                <w:sz w:val="24"/>
                <w:szCs w:val="24"/>
              </w:rPr>
              <w:t>（6）维修完毕后，技术工程师向甲方指定部门出具设备维修单。</w:t>
            </w:r>
          </w:p>
          <w:p w14:paraId="4AB4F3AF">
            <w:pPr>
              <w:ind w:firstLine="480" w:firstLineChars="200"/>
              <w:jc w:val="left"/>
              <w:rPr>
                <w:rFonts w:cs="宋体" w:asciiTheme="minorEastAsia" w:hAnsiTheme="minorEastAsia"/>
                <w:bCs/>
                <w:sz w:val="24"/>
                <w:szCs w:val="24"/>
              </w:rPr>
            </w:pPr>
            <w:r>
              <w:rPr>
                <w:rFonts w:hint="eastAsia" w:cs="宋体" w:asciiTheme="minorEastAsia" w:hAnsiTheme="minorEastAsia"/>
                <w:bCs/>
                <w:sz w:val="24"/>
                <w:szCs w:val="24"/>
              </w:rPr>
              <w:t>2、维护保养要求</w:t>
            </w:r>
          </w:p>
          <w:p w14:paraId="0005A24E">
            <w:pPr>
              <w:ind w:firstLine="480" w:firstLineChars="200"/>
              <w:jc w:val="left"/>
              <w:rPr>
                <w:rFonts w:cs="宋体" w:asciiTheme="minorEastAsia" w:hAnsiTheme="minorEastAsia"/>
                <w:bCs/>
                <w:sz w:val="24"/>
                <w:szCs w:val="24"/>
              </w:rPr>
            </w:pPr>
            <w:r>
              <w:rPr>
                <w:rFonts w:hint="eastAsia" w:cs="宋体" w:asciiTheme="minorEastAsia" w:hAnsiTheme="minorEastAsia"/>
                <w:bCs/>
                <w:sz w:val="24"/>
                <w:szCs w:val="24"/>
              </w:rPr>
              <w:t>★（1）服务期内每季度对整机进行全面性的预防性维护保养，一年四次的预防性维护保养工作。对已经老化及存在风险隐患的部件进行更换，保证设备处于最佳运行状态。预防性维护保养完毕后出具公司盖章的预防性维护保养报告。</w:t>
            </w:r>
          </w:p>
          <w:p w14:paraId="4119331D">
            <w:pPr>
              <w:ind w:firstLine="480" w:firstLineChars="200"/>
              <w:jc w:val="left"/>
              <w:rPr>
                <w:rFonts w:cs="宋体" w:asciiTheme="minorEastAsia" w:hAnsiTheme="minorEastAsia"/>
                <w:bCs/>
                <w:sz w:val="24"/>
                <w:szCs w:val="24"/>
              </w:rPr>
            </w:pPr>
            <w:r>
              <w:rPr>
                <w:rFonts w:hint="eastAsia" w:cs="宋体" w:asciiTheme="minorEastAsia" w:hAnsiTheme="minorEastAsia"/>
                <w:bCs/>
                <w:sz w:val="24"/>
                <w:szCs w:val="24"/>
              </w:rPr>
              <w:t>（2）设备内置软件如需升级，应按照原厂规定的升级文件及规定时间完成升级，并在升级完成后提供原厂升级文件。</w:t>
            </w:r>
          </w:p>
          <w:p w14:paraId="0B3B3130">
            <w:pPr>
              <w:ind w:firstLine="480" w:firstLineChars="200"/>
              <w:jc w:val="left"/>
              <w:rPr>
                <w:rFonts w:cs="宋体" w:asciiTheme="minorEastAsia" w:hAnsiTheme="minorEastAsia"/>
                <w:bCs/>
                <w:sz w:val="24"/>
                <w:szCs w:val="24"/>
              </w:rPr>
            </w:pPr>
            <w:r>
              <w:rPr>
                <w:rFonts w:hint="eastAsia" w:cs="宋体" w:asciiTheme="minorEastAsia" w:hAnsiTheme="minorEastAsia"/>
                <w:bCs/>
                <w:sz w:val="24"/>
                <w:szCs w:val="24"/>
              </w:rPr>
              <w:t>★（3）每年提供两次的深度大型保养工作，具体保养内容详见附件1，保养完成后出具公司盖章的保养报告。</w:t>
            </w:r>
          </w:p>
          <w:p w14:paraId="77568D6E">
            <w:pPr>
              <w:ind w:firstLine="480" w:firstLineChars="200"/>
              <w:jc w:val="left"/>
              <w:rPr>
                <w:rFonts w:cs="宋体" w:asciiTheme="minorEastAsia" w:hAnsiTheme="minorEastAsia"/>
                <w:bCs/>
                <w:sz w:val="24"/>
                <w:szCs w:val="24"/>
              </w:rPr>
            </w:pPr>
            <w:r>
              <w:rPr>
                <w:rFonts w:hint="eastAsia" w:cs="宋体" w:asciiTheme="minorEastAsia" w:hAnsiTheme="minorEastAsia"/>
                <w:bCs/>
                <w:sz w:val="24"/>
                <w:szCs w:val="24"/>
              </w:rPr>
              <w:t>★（4）每年按照设备维保及使用情况，更换消耗性零部件（详见附件2）。</w:t>
            </w:r>
          </w:p>
          <w:p w14:paraId="64B85C5A">
            <w:pPr>
              <w:ind w:firstLine="480" w:firstLineChars="200"/>
              <w:jc w:val="left"/>
              <w:rPr>
                <w:rFonts w:cs="宋体" w:asciiTheme="minorEastAsia" w:hAnsiTheme="minorEastAsia"/>
                <w:bCs/>
                <w:sz w:val="24"/>
                <w:szCs w:val="24"/>
              </w:rPr>
            </w:pPr>
            <w:r>
              <w:rPr>
                <w:rFonts w:hint="eastAsia" w:cs="宋体" w:asciiTheme="minorEastAsia" w:hAnsiTheme="minorEastAsia"/>
                <w:bCs/>
                <w:sz w:val="24"/>
                <w:szCs w:val="24"/>
              </w:rPr>
              <w:t>★（5）每年进行 4 次清洗效果监测。在机器的每层放置测试物，运行内置程序进行残留蛋白、清洗效果、温度测试，并出具公司盖章的检测报告。</w:t>
            </w:r>
          </w:p>
          <w:p w14:paraId="6D2D49C7">
            <w:pPr>
              <w:ind w:firstLine="480" w:firstLineChars="200"/>
              <w:jc w:val="left"/>
              <w:rPr>
                <w:rFonts w:cs="宋体" w:asciiTheme="minorEastAsia" w:hAnsiTheme="minorEastAsia"/>
                <w:bCs/>
                <w:sz w:val="24"/>
                <w:szCs w:val="24"/>
              </w:rPr>
            </w:pPr>
            <w:r>
              <w:rPr>
                <w:rFonts w:hint="eastAsia" w:cs="宋体" w:asciiTheme="minorEastAsia" w:hAnsiTheme="minorEastAsia"/>
                <w:bCs/>
                <w:sz w:val="24"/>
                <w:szCs w:val="24"/>
              </w:rPr>
              <w:t>★（6）对全自动清洗机和高温蒸汽灭菌器的腔体、灭菌架、外壁进行 1 次深度清洗， 以确保腔体、灭菌架以及外壁的清洁。</w:t>
            </w:r>
          </w:p>
          <w:p w14:paraId="450315B3">
            <w:pPr>
              <w:ind w:firstLine="480" w:firstLineChars="200"/>
              <w:jc w:val="left"/>
              <w:rPr>
                <w:rFonts w:cs="宋体" w:asciiTheme="minorEastAsia" w:hAnsiTheme="minorEastAsia"/>
                <w:bCs/>
                <w:sz w:val="24"/>
                <w:szCs w:val="24"/>
              </w:rPr>
            </w:pPr>
            <w:r>
              <w:rPr>
                <w:rFonts w:hint="eastAsia" w:cs="宋体" w:asciiTheme="minorEastAsia" w:hAnsiTheme="minorEastAsia"/>
                <w:bCs/>
                <w:sz w:val="24"/>
                <w:szCs w:val="24"/>
              </w:rPr>
              <w:t>3、人员要求</w:t>
            </w:r>
          </w:p>
          <w:p w14:paraId="27FFD4B0">
            <w:pPr>
              <w:ind w:firstLine="480" w:firstLineChars="200"/>
              <w:jc w:val="left"/>
              <w:rPr>
                <w:rFonts w:cs="宋体" w:asciiTheme="minorEastAsia" w:hAnsiTheme="minorEastAsia"/>
                <w:bCs/>
                <w:sz w:val="24"/>
                <w:szCs w:val="24"/>
              </w:rPr>
            </w:pPr>
            <w:r>
              <w:rPr>
                <w:rFonts w:hint="eastAsia" w:cs="宋体" w:asciiTheme="minorEastAsia" w:hAnsiTheme="minorEastAsia"/>
                <w:bCs/>
                <w:sz w:val="24"/>
                <w:szCs w:val="24"/>
              </w:rPr>
              <w:t>（1）设备使用人员和医院维修工程师提供每年2次设备使用或维护保养相关专业培训，培训完成后向甲方指定部门出具培训记录。</w:t>
            </w:r>
          </w:p>
          <w:p w14:paraId="1E48AA52">
            <w:pPr>
              <w:ind w:firstLine="480" w:firstLineChars="200"/>
              <w:jc w:val="left"/>
              <w:rPr>
                <w:rFonts w:cs="宋体" w:asciiTheme="minorEastAsia" w:hAnsiTheme="minorEastAsia"/>
                <w:bCs/>
                <w:sz w:val="24"/>
                <w:szCs w:val="24"/>
              </w:rPr>
            </w:pPr>
            <w:r>
              <w:rPr>
                <w:rFonts w:hint="eastAsia" w:cs="宋体" w:asciiTheme="minorEastAsia" w:hAnsiTheme="minorEastAsia"/>
                <w:bCs/>
                <w:sz w:val="24"/>
                <w:szCs w:val="24"/>
              </w:rPr>
              <w:t>（2）配合医院每年进行至少一次的特种设备应急演练工作。</w:t>
            </w:r>
          </w:p>
          <w:p w14:paraId="24F38A2C">
            <w:pPr>
              <w:ind w:firstLine="480" w:firstLineChars="200"/>
              <w:jc w:val="left"/>
              <w:rPr>
                <w:rFonts w:cs="宋体" w:asciiTheme="minorEastAsia" w:hAnsiTheme="minorEastAsia"/>
                <w:bCs/>
                <w:sz w:val="24"/>
                <w:szCs w:val="24"/>
              </w:rPr>
            </w:pPr>
            <w:r>
              <w:rPr>
                <w:rFonts w:hint="eastAsia" w:cs="宋体" w:asciiTheme="minorEastAsia" w:hAnsiTheme="minorEastAsia"/>
                <w:bCs/>
                <w:sz w:val="24"/>
                <w:szCs w:val="24"/>
              </w:rPr>
              <w:t>附表 1：大型保养内容</w:t>
            </w:r>
          </w:p>
          <w:tbl>
            <w:tblPr>
              <w:tblStyle w:val="35"/>
              <w:tblW w:w="89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248"/>
              <w:gridCol w:w="1145"/>
              <w:gridCol w:w="6585"/>
            </w:tblGrid>
            <w:tr w14:paraId="35FEF4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Align w:val="center"/>
                </w:tcPr>
                <w:p w14:paraId="1288AB92">
                  <w:pPr>
                    <w:pStyle w:val="7"/>
                    <w:spacing w:before="66" w:line="269" w:lineRule="auto"/>
                    <w:ind w:left="7" w:right="52" w:firstLine="212" w:firstLineChars="101"/>
                    <w:jc w:val="center"/>
                    <w:rPr>
                      <w:rFonts w:ascii="宋体" w:hAnsi="宋体" w:eastAsia="宋体" w:cs="宋体"/>
                      <w:szCs w:val="21"/>
                    </w:rPr>
                  </w:pPr>
                  <w:r>
                    <w:rPr>
                      <w:rFonts w:hint="eastAsia" w:ascii="宋体" w:hAnsi="宋体" w:eastAsia="宋体" w:cs="宋体"/>
                      <w:szCs w:val="21"/>
                    </w:rPr>
                    <w:t>设备名称</w:t>
                  </w:r>
                </w:p>
              </w:tc>
              <w:tc>
                <w:tcPr>
                  <w:tcW w:w="1145" w:type="dxa"/>
                  <w:vAlign w:val="center"/>
                </w:tcPr>
                <w:p w14:paraId="622EF0E7">
                  <w:pPr>
                    <w:pStyle w:val="7"/>
                    <w:spacing w:before="66" w:line="269" w:lineRule="auto"/>
                    <w:ind w:left="7" w:right="52" w:firstLine="212" w:firstLineChars="101"/>
                    <w:jc w:val="center"/>
                    <w:rPr>
                      <w:rFonts w:ascii="宋体" w:hAnsi="宋体" w:eastAsia="宋体" w:cs="宋体"/>
                      <w:szCs w:val="21"/>
                    </w:rPr>
                  </w:pPr>
                  <w:r>
                    <w:rPr>
                      <w:rFonts w:hint="eastAsia" w:ascii="宋体" w:hAnsi="宋体" w:eastAsia="宋体" w:cs="宋体"/>
                      <w:szCs w:val="21"/>
                    </w:rPr>
                    <w:t>保养部分</w:t>
                  </w:r>
                </w:p>
              </w:tc>
              <w:tc>
                <w:tcPr>
                  <w:tcW w:w="6585" w:type="dxa"/>
                  <w:vAlign w:val="center"/>
                </w:tcPr>
                <w:p w14:paraId="4E960D5F">
                  <w:pPr>
                    <w:pStyle w:val="7"/>
                    <w:spacing w:before="66" w:line="269" w:lineRule="auto"/>
                    <w:ind w:left="7" w:right="52" w:firstLine="212" w:firstLineChars="101"/>
                    <w:jc w:val="center"/>
                    <w:rPr>
                      <w:rFonts w:ascii="宋体" w:hAnsi="宋体" w:eastAsia="宋体" w:cs="宋体"/>
                      <w:szCs w:val="21"/>
                    </w:rPr>
                  </w:pPr>
                  <w:r>
                    <w:rPr>
                      <w:rFonts w:hint="eastAsia" w:ascii="宋体" w:hAnsi="宋体" w:eastAsia="宋体" w:cs="宋体"/>
                      <w:szCs w:val="21"/>
                    </w:rPr>
                    <w:t>保养内容</w:t>
                  </w:r>
                </w:p>
              </w:tc>
            </w:tr>
            <w:tr w14:paraId="46F466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restart"/>
                  <w:tcBorders>
                    <w:bottom w:val="nil"/>
                  </w:tcBorders>
                  <w:vAlign w:val="center"/>
                </w:tcPr>
                <w:p w14:paraId="1124CC74">
                  <w:pPr>
                    <w:pStyle w:val="7"/>
                    <w:spacing w:before="66" w:line="269" w:lineRule="auto"/>
                    <w:ind w:left="7" w:right="52" w:firstLine="212" w:firstLineChars="101"/>
                    <w:jc w:val="center"/>
                    <w:rPr>
                      <w:rFonts w:ascii="宋体" w:hAnsi="宋体" w:eastAsia="宋体" w:cs="宋体"/>
                      <w:szCs w:val="21"/>
                    </w:rPr>
                  </w:pPr>
                  <w:r>
                    <w:rPr>
                      <w:rFonts w:hint="eastAsia" w:ascii="宋体" w:hAnsi="宋体" w:eastAsia="宋体" w:cs="宋体"/>
                      <w:szCs w:val="21"/>
                    </w:rPr>
                    <w:t>高温蒸汽灭菌器</w:t>
                  </w:r>
                </w:p>
              </w:tc>
              <w:tc>
                <w:tcPr>
                  <w:tcW w:w="1145" w:type="dxa"/>
                  <w:vMerge w:val="restart"/>
                  <w:tcBorders>
                    <w:bottom w:val="nil"/>
                  </w:tcBorders>
                  <w:vAlign w:val="center"/>
                </w:tcPr>
                <w:p w14:paraId="3F8C123D">
                  <w:pPr>
                    <w:pStyle w:val="7"/>
                    <w:spacing w:before="66" w:line="269" w:lineRule="auto"/>
                    <w:ind w:right="52"/>
                    <w:jc w:val="center"/>
                    <w:rPr>
                      <w:rFonts w:ascii="宋体" w:hAnsi="宋体" w:eastAsia="宋体" w:cs="宋体"/>
                      <w:szCs w:val="21"/>
                    </w:rPr>
                  </w:pPr>
                  <w:r>
                    <w:rPr>
                      <w:rFonts w:hint="eastAsia" w:ascii="宋体" w:hAnsi="宋体" w:eastAsia="宋体" w:cs="宋体"/>
                      <w:szCs w:val="21"/>
                    </w:rPr>
                    <w:t>水路部分</w:t>
                  </w:r>
                </w:p>
              </w:tc>
              <w:tc>
                <w:tcPr>
                  <w:tcW w:w="6585" w:type="dxa"/>
                </w:tcPr>
                <w:p w14:paraId="2A0DC122">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检查进水电磁阀的开关情况</w:t>
                  </w:r>
                </w:p>
              </w:tc>
            </w:tr>
            <w:tr w14:paraId="6BFE3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248" w:type="dxa"/>
                  <w:vMerge w:val="continue"/>
                  <w:tcBorders>
                    <w:top w:val="nil"/>
                    <w:bottom w:val="nil"/>
                  </w:tcBorders>
                </w:tcPr>
                <w:p w14:paraId="39F38822">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bottom w:val="nil"/>
                  </w:tcBorders>
                  <w:vAlign w:val="center"/>
                </w:tcPr>
                <w:p w14:paraId="0F27DC36">
                  <w:pPr>
                    <w:pStyle w:val="7"/>
                    <w:spacing w:before="66" w:line="269" w:lineRule="auto"/>
                    <w:ind w:left="7" w:right="52" w:firstLine="212" w:firstLineChars="101"/>
                    <w:jc w:val="center"/>
                    <w:rPr>
                      <w:rFonts w:ascii="宋体" w:hAnsi="宋体" w:eastAsia="宋体" w:cs="宋体"/>
                      <w:szCs w:val="21"/>
                    </w:rPr>
                  </w:pPr>
                </w:p>
              </w:tc>
              <w:tc>
                <w:tcPr>
                  <w:tcW w:w="6585" w:type="dxa"/>
                </w:tcPr>
                <w:p w14:paraId="06DB3787">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清洗所有进水过滤器</w:t>
                  </w:r>
                </w:p>
              </w:tc>
            </w:tr>
            <w:tr w14:paraId="021EDA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top w:val="nil"/>
                    <w:bottom w:val="nil"/>
                  </w:tcBorders>
                </w:tcPr>
                <w:p w14:paraId="405306FF">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tcBorders>
                  <w:vAlign w:val="center"/>
                </w:tcPr>
                <w:p w14:paraId="64AA99F8">
                  <w:pPr>
                    <w:pStyle w:val="7"/>
                    <w:spacing w:before="66" w:line="269" w:lineRule="auto"/>
                    <w:ind w:left="7" w:right="52" w:firstLine="212" w:firstLineChars="101"/>
                    <w:jc w:val="center"/>
                    <w:rPr>
                      <w:rFonts w:ascii="宋体" w:hAnsi="宋体" w:eastAsia="宋体" w:cs="宋体"/>
                      <w:szCs w:val="21"/>
                    </w:rPr>
                  </w:pPr>
                </w:p>
              </w:tc>
              <w:tc>
                <w:tcPr>
                  <w:tcW w:w="6585" w:type="dxa"/>
                </w:tcPr>
                <w:p w14:paraId="20B7F96D">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检查压缩空气、蒸汽</w:t>
                  </w:r>
                </w:p>
              </w:tc>
            </w:tr>
            <w:tr w14:paraId="581FE056">
              <w:tblPrEx>
                <w:tblCellMar>
                  <w:top w:w="0" w:type="dxa"/>
                  <w:left w:w="0" w:type="dxa"/>
                  <w:bottom w:w="0" w:type="dxa"/>
                  <w:right w:w="0" w:type="dxa"/>
                </w:tblCellMar>
              </w:tblPrEx>
              <w:trPr>
                <w:trHeight w:val="350" w:hRule="atLeast"/>
              </w:trPr>
              <w:tc>
                <w:tcPr>
                  <w:tcW w:w="1248" w:type="dxa"/>
                  <w:vMerge w:val="continue"/>
                  <w:tcBorders>
                    <w:top w:val="nil"/>
                    <w:bottom w:val="nil"/>
                  </w:tcBorders>
                </w:tcPr>
                <w:p w14:paraId="19652230">
                  <w:pPr>
                    <w:pStyle w:val="7"/>
                    <w:spacing w:before="66" w:line="269" w:lineRule="auto"/>
                    <w:ind w:left="7" w:right="52" w:firstLine="212" w:firstLineChars="101"/>
                    <w:rPr>
                      <w:rFonts w:ascii="宋体" w:hAnsi="宋体" w:eastAsia="宋体" w:cs="宋体"/>
                      <w:szCs w:val="21"/>
                    </w:rPr>
                  </w:pPr>
                </w:p>
              </w:tc>
              <w:tc>
                <w:tcPr>
                  <w:tcW w:w="1145" w:type="dxa"/>
                  <w:vMerge w:val="restart"/>
                  <w:tcBorders>
                    <w:bottom w:val="nil"/>
                  </w:tcBorders>
                  <w:vAlign w:val="center"/>
                </w:tcPr>
                <w:p w14:paraId="7EDFE415">
                  <w:pPr>
                    <w:pStyle w:val="7"/>
                    <w:spacing w:before="66" w:line="269" w:lineRule="auto"/>
                    <w:ind w:right="52"/>
                    <w:jc w:val="center"/>
                    <w:rPr>
                      <w:rFonts w:ascii="宋体" w:hAnsi="宋体" w:eastAsia="宋体" w:cs="宋体"/>
                      <w:szCs w:val="21"/>
                    </w:rPr>
                  </w:pPr>
                  <w:r>
                    <w:rPr>
                      <w:rFonts w:hint="eastAsia" w:ascii="宋体" w:hAnsi="宋体" w:eastAsia="宋体" w:cs="宋体"/>
                      <w:szCs w:val="21"/>
                    </w:rPr>
                    <w:t>真空泵、管路部分</w:t>
                  </w:r>
                </w:p>
              </w:tc>
              <w:tc>
                <w:tcPr>
                  <w:tcW w:w="6585" w:type="dxa"/>
                </w:tcPr>
                <w:p w14:paraId="6D0BF8E6">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检查电机运转情况</w:t>
                  </w:r>
                </w:p>
              </w:tc>
            </w:tr>
            <w:tr w14:paraId="21DB4B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top w:val="nil"/>
                    <w:bottom w:val="nil"/>
                  </w:tcBorders>
                </w:tcPr>
                <w:p w14:paraId="5903BA80">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bottom w:val="nil"/>
                  </w:tcBorders>
                  <w:vAlign w:val="center"/>
                </w:tcPr>
                <w:p w14:paraId="490B9C90">
                  <w:pPr>
                    <w:pStyle w:val="7"/>
                    <w:spacing w:before="66" w:line="269" w:lineRule="auto"/>
                    <w:ind w:left="7" w:right="52" w:firstLine="212" w:firstLineChars="101"/>
                    <w:jc w:val="center"/>
                    <w:rPr>
                      <w:rFonts w:ascii="宋体" w:hAnsi="宋体" w:eastAsia="宋体" w:cs="宋体"/>
                      <w:szCs w:val="21"/>
                    </w:rPr>
                  </w:pPr>
                </w:p>
              </w:tc>
              <w:tc>
                <w:tcPr>
                  <w:tcW w:w="6585" w:type="dxa"/>
                </w:tcPr>
                <w:p w14:paraId="017B8B8F">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对真空管路部分进行紧固</w:t>
                  </w:r>
                </w:p>
              </w:tc>
            </w:tr>
            <w:tr w14:paraId="6D533E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top w:val="nil"/>
                    <w:bottom w:val="nil"/>
                  </w:tcBorders>
                </w:tcPr>
                <w:p w14:paraId="2704B408">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tcBorders>
                  <w:vAlign w:val="center"/>
                </w:tcPr>
                <w:p w14:paraId="298790CD">
                  <w:pPr>
                    <w:pStyle w:val="7"/>
                    <w:spacing w:before="66" w:line="269" w:lineRule="auto"/>
                    <w:ind w:left="7" w:right="52" w:firstLine="212" w:firstLineChars="101"/>
                    <w:jc w:val="center"/>
                    <w:rPr>
                      <w:rFonts w:ascii="宋体" w:hAnsi="宋体" w:eastAsia="宋体" w:cs="宋体"/>
                      <w:szCs w:val="21"/>
                    </w:rPr>
                  </w:pPr>
                </w:p>
              </w:tc>
              <w:tc>
                <w:tcPr>
                  <w:tcW w:w="6585" w:type="dxa"/>
                </w:tcPr>
                <w:p w14:paraId="78AF460D">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检查所有管道的连接状态</w:t>
                  </w:r>
                </w:p>
              </w:tc>
            </w:tr>
            <w:tr w14:paraId="1D3806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top w:val="nil"/>
                    <w:bottom w:val="nil"/>
                  </w:tcBorders>
                </w:tcPr>
                <w:p w14:paraId="1FAAA36D">
                  <w:pPr>
                    <w:pStyle w:val="7"/>
                    <w:spacing w:before="66" w:line="269" w:lineRule="auto"/>
                    <w:ind w:left="7" w:right="52" w:firstLine="212" w:firstLineChars="101"/>
                    <w:rPr>
                      <w:rFonts w:ascii="宋体" w:hAnsi="宋体" w:eastAsia="宋体" w:cs="宋体"/>
                      <w:szCs w:val="21"/>
                    </w:rPr>
                  </w:pPr>
                </w:p>
              </w:tc>
              <w:tc>
                <w:tcPr>
                  <w:tcW w:w="1145" w:type="dxa"/>
                  <w:vMerge w:val="restart"/>
                  <w:tcBorders>
                    <w:bottom w:val="nil"/>
                  </w:tcBorders>
                  <w:vAlign w:val="center"/>
                </w:tcPr>
                <w:p w14:paraId="3A1C2476">
                  <w:pPr>
                    <w:pStyle w:val="7"/>
                    <w:spacing w:before="66" w:line="269" w:lineRule="auto"/>
                    <w:ind w:right="52"/>
                    <w:jc w:val="center"/>
                    <w:rPr>
                      <w:rFonts w:ascii="宋体" w:hAnsi="宋体" w:eastAsia="宋体" w:cs="宋体"/>
                      <w:szCs w:val="21"/>
                    </w:rPr>
                  </w:pPr>
                  <w:r>
                    <w:rPr>
                      <w:rFonts w:hint="eastAsia" w:ascii="宋体" w:hAnsi="宋体" w:eastAsia="宋体" w:cs="宋体"/>
                      <w:szCs w:val="21"/>
                    </w:rPr>
                    <w:t>电路控制部分</w:t>
                  </w:r>
                </w:p>
              </w:tc>
              <w:tc>
                <w:tcPr>
                  <w:tcW w:w="6585" w:type="dxa"/>
                </w:tcPr>
                <w:p w14:paraId="23B68EA1">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检查继电器的吸合情况及电磁阀组合的工作状态</w:t>
                  </w:r>
                </w:p>
              </w:tc>
            </w:tr>
            <w:tr w14:paraId="118AC2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top w:val="nil"/>
                    <w:bottom w:val="nil"/>
                  </w:tcBorders>
                </w:tcPr>
                <w:p w14:paraId="59F1545E">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bottom w:val="nil"/>
                  </w:tcBorders>
                  <w:vAlign w:val="center"/>
                </w:tcPr>
                <w:p w14:paraId="379731AE">
                  <w:pPr>
                    <w:pStyle w:val="7"/>
                    <w:spacing w:before="66" w:line="269" w:lineRule="auto"/>
                    <w:ind w:left="7" w:right="52" w:firstLine="212" w:firstLineChars="101"/>
                    <w:jc w:val="center"/>
                    <w:rPr>
                      <w:rFonts w:ascii="宋体" w:hAnsi="宋体" w:eastAsia="宋体" w:cs="宋体"/>
                      <w:szCs w:val="21"/>
                    </w:rPr>
                  </w:pPr>
                </w:p>
              </w:tc>
              <w:tc>
                <w:tcPr>
                  <w:tcW w:w="6585" w:type="dxa"/>
                </w:tcPr>
                <w:p w14:paraId="5FA5BAB6">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紧固控制柜内端子螺栓，柜内清灰</w:t>
                  </w:r>
                </w:p>
              </w:tc>
            </w:tr>
            <w:tr w14:paraId="696EB3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top w:val="nil"/>
                    <w:bottom w:val="nil"/>
                  </w:tcBorders>
                </w:tcPr>
                <w:p w14:paraId="3784446A">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bottom w:val="nil"/>
                  </w:tcBorders>
                  <w:vAlign w:val="center"/>
                </w:tcPr>
                <w:p w14:paraId="3A09A2E5">
                  <w:pPr>
                    <w:pStyle w:val="7"/>
                    <w:spacing w:before="66" w:line="269" w:lineRule="auto"/>
                    <w:ind w:left="7" w:right="52" w:firstLine="212" w:firstLineChars="101"/>
                    <w:jc w:val="center"/>
                    <w:rPr>
                      <w:rFonts w:ascii="宋体" w:hAnsi="宋体" w:eastAsia="宋体" w:cs="宋体"/>
                      <w:szCs w:val="21"/>
                    </w:rPr>
                  </w:pPr>
                </w:p>
              </w:tc>
              <w:tc>
                <w:tcPr>
                  <w:tcW w:w="6585" w:type="dxa"/>
                </w:tcPr>
                <w:p w14:paraId="7B9A5108">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检查所有的数字输入功能状态</w:t>
                  </w:r>
                </w:p>
              </w:tc>
            </w:tr>
            <w:tr w14:paraId="7061F1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top w:val="nil"/>
                    <w:bottom w:val="nil"/>
                  </w:tcBorders>
                </w:tcPr>
                <w:p w14:paraId="5059A602">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bottom w:val="nil"/>
                  </w:tcBorders>
                  <w:vAlign w:val="center"/>
                </w:tcPr>
                <w:p w14:paraId="0888D96D">
                  <w:pPr>
                    <w:pStyle w:val="7"/>
                    <w:spacing w:before="66" w:line="269" w:lineRule="auto"/>
                    <w:ind w:left="7" w:right="52" w:firstLine="212" w:firstLineChars="101"/>
                    <w:jc w:val="center"/>
                    <w:rPr>
                      <w:rFonts w:ascii="宋体" w:hAnsi="宋体" w:eastAsia="宋体" w:cs="宋体"/>
                      <w:szCs w:val="21"/>
                    </w:rPr>
                  </w:pPr>
                </w:p>
              </w:tc>
              <w:tc>
                <w:tcPr>
                  <w:tcW w:w="6585" w:type="dxa"/>
                </w:tcPr>
                <w:p w14:paraId="45670B05">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检查所有的数字输出功能状态</w:t>
                  </w:r>
                </w:p>
              </w:tc>
            </w:tr>
            <w:tr w14:paraId="54E05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top w:val="nil"/>
                    <w:bottom w:val="nil"/>
                  </w:tcBorders>
                </w:tcPr>
                <w:p w14:paraId="2CF6E27C">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tcBorders>
                  <w:vAlign w:val="center"/>
                </w:tcPr>
                <w:p w14:paraId="38842FF5">
                  <w:pPr>
                    <w:pStyle w:val="7"/>
                    <w:spacing w:before="66" w:line="269" w:lineRule="auto"/>
                    <w:ind w:left="7" w:right="52" w:firstLine="212" w:firstLineChars="101"/>
                    <w:jc w:val="center"/>
                    <w:rPr>
                      <w:rFonts w:ascii="宋体" w:hAnsi="宋体" w:eastAsia="宋体" w:cs="宋体"/>
                      <w:szCs w:val="21"/>
                    </w:rPr>
                  </w:pPr>
                </w:p>
              </w:tc>
              <w:tc>
                <w:tcPr>
                  <w:tcW w:w="6585" w:type="dxa"/>
                </w:tcPr>
                <w:p w14:paraId="56C40E23">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检查所有的模拟输入功能状态</w:t>
                  </w:r>
                </w:p>
              </w:tc>
            </w:tr>
            <w:tr w14:paraId="6C0F96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248" w:type="dxa"/>
                  <w:vMerge w:val="continue"/>
                  <w:tcBorders>
                    <w:top w:val="nil"/>
                    <w:bottom w:val="nil"/>
                  </w:tcBorders>
                </w:tcPr>
                <w:p w14:paraId="5C3A5975">
                  <w:pPr>
                    <w:pStyle w:val="7"/>
                    <w:spacing w:before="66" w:line="269" w:lineRule="auto"/>
                    <w:ind w:left="7" w:right="52" w:firstLine="212" w:firstLineChars="101"/>
                    <w:rPr>
                      <w:rFonts w:ascii="宋体" w:hAnsi="宋体" w:eastAsia="宋体" w:cs="宋体"/>
                      <w:szCs w:val="21"/>
                    </w:rPr>
                  </w:pPr>
                </w:p>
              </w:tc>
              <w:tc>
                <w:tcPr>
                  <w:tcW w:w="1145" w:type="dxa"/>
                  <w:vMerge w:val="restart"/>
                  <w:tcBorders>
                    <w:bottom w:val="nil"/>
                  </w:tcBorders>
                  <w:vAlign w:val="center"/>
                </w:tcPr>
                <w:p w14:paraId="663933BB">
                  <w:pPr>
                    <w:pStyle w:val="7"/>
                    <w:spacing w:before="66" w:line="269" w:lineRule="auto"/>
                    <w:ind w:right="52"/>
                    <w:jc w:val="center"/>
                    <w:rPr>
                      <w:rFonts w:ascii="宋体" w:hAnsi="宋体" w:eastAsia="宋体" w:cs="宋体"/>
                      <w:szCs w:val="21"/>
                    </w:rPr>
                  </w:pPr>
                  <w:r>
                    <w:rPr>
                      <w:rFonts w:hint="eastAsia" w:ascii="宋体" w:hAnsi="宋体" w:eastAsia="宋体" w:cs="宋体"/>
                      <w:szCs w:val="21"/>
                    </w:rPr>
                    <w:t>门部分</w:t>
                  </w:r>
                </w:p>
              </w:tc>
              <w:tc>
                <w:tcPr>
                  <w:tcW w:w="6585" w:type="dxa"/>
                </w:tcPr>
                <w:p w14:paraId="69A77389">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检查门的上升功能、限位开关、互锁功能、安全功能</w:t>
                  </w:r>
                </w:p>
              </w:tc>
            </w:tr>
            <w:tr w14:paraId="513E1F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top w:val="nil"/>
                    <w:bottom w:val="nil"/>
                  </w:tcBorders>
                </w:tcPr>
                <w:p w14:paraId="7D921AA1">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tcBorders>
                  <w:vAlign w:val="center"/>
                </w:tcPr>
                <w:p w14:paraId="7887C6DE">
                  <w:pPr>
                    <w:pStyle w:val="7"/>
                    <w:spacing w:before="66" w:line="269" w:lineRule="auto"/>
                    <w:ind w:left="7" w:right="52" w:firstLine="212" w:firstLineChars="101"/>
                    <w:jc w:val="center"/>
                    <w:rPr>
                      <w:rFonts w:ascii="宋体" w:hAnsi="宋体" w:eastAsia="宋体" w:cs="宋体"/>
                      <w:szCs w:val="21"/>
                    </w:rPr>
                  </w:pPr>
                </w:p>
              </w:tc>
              <w:tc>
                <w:tcPr>
                  <w:tcW w:w="6585" w:type="dxa"/>
                </w:tcPr>
                <w:p w14:paraId="0180F31D">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检查门封</w:t>
                  </w:r>
                </w:p>
              </w:tc>
            </w:tr>
            <w:tr w14:paraId="7284F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top w:val="nil"/>
                    <w:bottom w:val="nil"/>
                  </w:tcBorders>
                </w:tcPr>
                <w:p w14:paraId="1E522008">
                  <w:pPr>
                    <w:pStyle w:val="7"/>
                    <w:spacing w:before="66" w:line="269" w:lineRule="auto"/>
                    <w:ind w:left="7" w:right="52" w:firstLine="212" w:firstLineChars="101"/>
                    <w:rPr>
                      <w:rFonts w:ascii="宋体" w:hAnsi="宋体" w:eastAsia="宋体" w:cs="宋体"/>
                      <w:szCs w:val="21"/>
                    </w:rPr>
                  </w:pPr>
                </w:p>
              </w:tc>
              <w:tc>
                <w:tcPr>
                  <w:tcW w:w="1145" w:type="dxa"/>
                  <w:vMerge w:val="restart"/>
                  <w:tcBorders>
                    <w:bottom w:val="nil"/>
                  </w:tcBorders>
                  <w:vAlign w:val="center"/>
                </w:tcPr>
                <w:p w14:paraId="7EB85CC2">
                  <w:pPr>
                    <w:pStyle w:val="7"/>
                    <w:spacing w:before="66" w:line="269" w:lineRule="auto"/>
                    <w:ind w:right="52"/>
                    <w:jc w:val="center"/>
                    <w:rPr>
                      <w:rFonts w:ascii="宋体" w:hAnsi="宋体" w:eastAsia="宋体" w:cs="宋体"/>
                      <w:szCs w:val="21"/>
                    </w:rPr>
                  </w:pPr>
                  <w:r>
                    <w:rPr>
                      <w:rFonts w:hint="eastAsia" w:ascii="宋体" w:hAnsi="宋体" w:eastAsia="宋体" w:cs="宋体"/>
                      <w:szCs w:val="21"/>
                    </w:rPr>
                    <w:t>其他</w:t>
                  </w:r>
                </w:p>
              </w:tc>
              <w:tc>
                <w:tcPr>
                  <w:tcW w:w="6585" w:type="dxa"/>
                </w:tcPr>
                <w:p w14:paraId="75703681">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运行设备所有程序，检查自动控制状态，观察相关参数</w:t>
                  </w:r>
                </w:p>
              </w:tc>
            </w:tr>
            <w:tr w14:paraId="6052E8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top w:val="nil"/>
                    <w:bottom w:val="nil"/>
                  </w:tcBorders>
                </w:tcPr>
                <w:p w14:paraId="1D95F648">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bottom w:val="nil"/>
                  </w:tcBorders>
                  <w:vAlign w:val="center"/>
                </w:tcPr>
                <w:p w14:paraId="6DC1A7D8">
                  <w:pPr>
                    <w:pStyle w:val="7"/>
                    <w:spacing w:before="66" w:line="269" w:lineRule="auto"/>
                    <w:ind w:left="7" w:right="52" w:firstLine="212" w:firstLineChars="101"/>
                    <w:jc w:val="center"/>
                    <w:rPr>
                      <w:rFonts w:ascii="宋体" w:hAnsi="宋体" w:eastAsia="宋体" w:cs="宋体"/>
                      <w:szCs w:val="21"/>
                    </w:rPr>
                  </w:pPr>
                </w:p>
              </w:tc>
              <w:tc>
                <w:tcPr>
                  <w:tcW w:w="6585" w:type="dxa"/>
                </w:tcPr>
                <w:p w14:paraId="14B63128">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检测供电电压状态，检查变压器状态和电压</w:t>
                  </w:r>
                </w:p>
              </w:tc>
            </w:tr>
            <w:tr w14:paraId="033CF6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top w:val="nil"/>
                    <w:bottom w:val="nil"/>
                  </w:tcBorders>
                </w:tcPr>
                <w:p w14:paraId="66C69AFA">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bottom w:val="nil"/>
                  </w:tcBorders>
                  <w:vAlign w:val="center"/>
                </w:tcPr>
                <w:p w14:paraId="666177B4">
                  <w:pPr>
                    <w:pStyle w:val="7"/>
                    <w:spacing w:before="66" w:line="269" w:lineRule="auto"/>
                    <w:ind w:left="7" w:right="52" w:firstLine="212" w:firstLineChars="101"/>
                    <w:jc w:val="center"/>
                    <w:rPr>
                      <w:rFonts w:ascii="宋体" w:hAnsi="宋体" w:eastAsia="宋体" w:cs="宋体"/>
                      <w:szCs w:val="21"/>
                    </w:rPr>
                  </w:pPr>
                </w:p>
              </w:tc>
              <w:tc>
                <w:tcPr>
                  <w:tcW w:w="6585" w:type="dxa"/>
                </w:tcPr>
                <w:p w14:paraId="4A84DB52">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检测测漏功能</w:t>
                  </w:r>
                </w:p>
              </w:tc>
            </w:tr>
            <w:tr w14:paraId="77171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top w:val="nil"/>
                    <w:bottom w:val="nil"/>
                  </w:tcBorders>
                </w:tcPr>
                <w:p w14:paraId="30ECDB8E">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bottom w:val="nil"/>
                  </w:tcBorders>
                  <w:vAlign w:val="center"/>
                </w:tcPr>
                <w:p w14:paraId="2454C9E9">
                  <w:pPr>
                    <w:pStyle w:val="7"/>
                    <w:spacing w:before="66" w:line="269" w:lineRule="auto"/>
                    <w:ind w:left="7" w:right="52" w:firstLine="212" w:firstLineChars="101"/>
                    <w:jc w:val="center"/>
                    <w:rPr>
                      <w:rFonts w:ascii="宋体" w:hAnsi="宋体" w:eastAsia="宋体" w:cs="宋体"/>
                      <w:szCs w:val="21"/>
                    </w:rPr>
                  </w:pPr>
                </w:p>
              </w:tc>
              <w:tc>
                <w:tcPr>
                  <w:tcW w:w="6585" w:type="dxa"/>
                </w:tcPr>
                <w:p w14:paraId="03343090">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检测压力开关的工作压力值</w:t>
                  </w:r>
                </w:p>
              </w:tc>
            </w:tr>
            <w:tr w14:paraId="0D60BD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top w:val="nil"/>
                    <w:bottom w:val="nil"/>
                  </w:tcBorders>
                </w:tcPr>
                <w:p w14:paraId="22335213">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bottom w:val="nil"/>
                  </w:tcBorders>
                  <w:vAlign w:val="center"/>
                </w:tcPr>
                <w:p w14:paraId="3EA66D94">
                  <w:pPr>
                    <w:pStyle w:val="7"/>
                    <w:spacing w:before="66" w:line="269" w:lineRule="auto"/>
                    <w:ind w:left="7" w:right="52" w:firstLine="212" w:firstLineChars="101"/>
                    <w:jc w:val="center"/>
                    <w:rPr>
                      <w:rFonts w:ascii="宋体" w:hAnsi="宋体" w:eastAsia="宋体" w:cs="宋体"/>
                      <w:szCs w:val="21"/>
                    </w:rPr>
                  </w:pPr>
                </w:p>
              </w:tc>
              <w:tc>
                <w:tcPr>
                  <w:tcW w:w="6585" w:type="dxa"/>
                </w:tcPr>
                <w:p w14:paraId="56F70C48">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检查空气过滤器</w:t>
                  </w:r>
                </w:p>
              </w:tc>
            </w:tr>
            <w:tr w14:paraId="439524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top w:val="nil"/>
                    <w:bottom w:val="nil"/>
                  </w:tcBorders>
                </w:tcPr>
                <w:p w14:paraId="09040332">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bottom w:val="nil"/>
                  </w:tcBorders>
                  <w:vAlign w:val="center"/>
                </w:tcPr>
                <w:p w14:paraId="505D273E">
                  <w:pPr>
                    <w:pStyle w:val="7"/>
                    <w:spacing w:before="66" w:line="269" w:lineRule="auto"/>
                    <w:ind w:left="7" w:right="52" w:firstLine="212" w:firstLineChars="101"/>
                    <w:jc w:val="center"/>
                    <w:rPr>
                      <w:rFonts w:ascii="宋体" w:hAnsi="宋体" w:eastAsia="宋体" w:cs="宋体"/>
                      <w:szCs w:val="21"/>
                    </w:rPr>
                  </w:pPr>
                </w:p>
              </w:tc>
              <w:tc>
                <w:tcPr>
                  <w:tcW w:w="6585" w:type="dxa"/>
                </w:tcPr>
                <w:p w14:paraId="5A02EB8F">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检查所有单向阀、气动阀的工作状态</w:t>
                  </w:r>
                </w:p>
              </w:tc>
            </w:tr>
            <w:tr w14:paraId="29FE93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top w:val="nil"/>
                    <w:bottom w:val="nil"/>
                  </w:tcBorders>
                </w:tcPr>
                <w:p w14:paraId="6A7E8229">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bottom w:val="nil"/>
                  </w:tcBorders>
                  <w:vAlign w:val="center"/>
                </w:tcPr>
                <w:p w14:paraId="3F145420">
                  <w:pPr>
                    <w:pStyle w:val="7"/>
                    <w:spacing w:before="66" w:line="269" w:lineRule="auto"/>
                    <w:ind w:left="7" w:right="52" w:firstLine="212" w:firstLineChars="101"/>
                    <w:jc w:val="center"/>
                    <w:rPr>
                      <w:rFonts w:ascii="宋体" w:hAnsi="宋体" w:eastAsia="宋体" w:cs="宋体"/>
                      <w:szCs w:val="21"/>
                    </w:rPr>
                  </w:pPr>
                </w:p>
              </w:tc>
              <w:tc>
                <w:tcPr>
                  <w:tcW w:w="6585" w:type="dxa"/>
                </w:tcPr>
                <w:p w14:paraId="77C93BCB">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检查压力和温度的互锁关系</w:t>
                  </w:r>
                </w:p>
              </w:tc>
            </w:tr>
            <w:tr w14:paraId="775C6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top w:val="nil"/>
                    <w:bottom w:val="single" w:color="auto" w:sz="4" w:space="0"/>
                  </w:tcBorders>
                </w:tcPr>
                <w:p w14:paraId="49134192">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bottom w:val="single" w:color="auto" w:sz="4" w:space="0"/>
                  </w:tcBorders>
                  <w:vAlign w:val="center"/>
                </w:tcPr>
                <w:p w14:paraId="6347BBA1">
                  <w:pPr>
                    <w:pStyle w:val="7"/>
                    <w:spacing w:before="66" w:line="269" w:lineRule="auto"/>
                    <w:ind w:left="7" w:right="52" w:firstLine="212" w:firstLineChars="101"/>
                    <w:jc w:val="center"/>
                    <w:rPr>
                      <w:rFonts w:ascii="宋体" w:hAnsi="宋体" w:eastAsia="宋体" w:cs="宋体"/>
                      <w:szCs w:val="21"/>
                    </w:rPr>
                  </w:pPr>
                </w:p>
              </w:tc>
              <w:tc>
                <w:tcPr>
                  <w:tcW w:w="6585" w:type="dxa"/>
                  <w:tcBorders>
                    <w:bottom w:val="single" w:color="auto" w:sz="4" w:space="0"/>
                  </w:tcBorders>
                </w:tcPr>
                <w:p w14:paraId="0F9B4237">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协助进行 BD/BI测试</w:t>
                  </w:r>
                </w:p>
              </w:tc>
            </w:tr>
            <w:tr w14:paraId="69A694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restart"/>
                  <w:tcBorders>
                    <w:top w:val="single" w:color="auto" w:sz="4" w:space="0"/>
                    <w:left w:val="single" w:color="auto" w:sz="4" w:space="0"/>
                  </w:tcBorders>
                  <w:vAlign w:val="center"/>
                </w:tcPr>
                <w:p w14:paraId="310F4DDF">
                  <w:pPr>
                    <w:pStyle w:val="7"/>
                    <w:spacing w:before="66" w:line="269" w:lineRule="auto"/>
                    <w:ind w:right="52"/>
                    <w:jc w:val="center"/>
                    <w:rPr>
                      <w:rFonts w:ascii="宋体" w:hAnsi="宋体" w:eastAsia="宋体" w:cs="宋体"/>
                      <w:szCs w:val="21"/>
                    </w:rPr>
                  </w:pPr>
                  <w:r>
                    <w:rPr>
                      <w:rFonts w:hint="eastAsia" w:ascii="宋体" w:hAnsi="宋体" w:eastAsia="宋体" w:cs="宋体"/>
                      <w:szCs w:val="21"/>
                    </w:rPr>
                    <w:t>全自动清洗机</w:t>
                  </w:r>
                </w:p>
              </w:tc>
              <w:tc>
                <w:tcPr>
                  <w:tcW w:w="1145" w:type="dxa"/>
                  <w:vMerge w:val="restart"/>
                  <w:tcBorders>
                    <w:top w:val="single" w:color="auto" w:sz="4" w:space="0"/>
                    <w:bottom w:val="nil"/>
                  </w:tcBorders>
                  <w:vAlign w:val="center"/>
                </w:tcPr>
                <w:p w14:paraId="47BA5400">
                  <w:pPr>
                    <w:pStyle w:val="7"/>
                    <w:spacing w:before="66" w:line="269" w:lineRule="auto"/>
                    <w:ind w:right="52"/>
                    <w:jc w:val="center"/>
                    <w:rPr>
                      <w:rFonts w:ascii="宋体" w:hAnsi="宋体" w:eastAsia="宋体" w:cs="宋体"/>
                      <w:szCs w:val="21"/>
                    </w:rPr>
                  </w:pPr>
                  <w:r>
                    <w:rPr>
                      <w:rFonts w:hint="eastAsia" w:ascii="宋体" w:hAnsi="宋体" w:eastAsia="宋体" w:cs="宋体"/>
                      <w:szCs w:val="21"/>
                    </w:rPr>
                    <w:t>水路部分</w:t>
                  </w:r>
                </w:p>
              </w:tc>
              <w:tc>
                <w:tcPr>
                  <w:tcW w:w="6585" w:type="dxa"/>
                  <w:tcBorders>
                    <w:top w:val="single" w:color="auto" w:sz="4" w:space="0"/>
                    <w:right w:val="single" w:color="auto" w:sz="4" w:space="0"/>
                  </w:tcBorders>
                </w:tcPr>
                <w:p w14:paraId="5DF6955E">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检查进水电磁阀的开关情况</w:t>
                  </w:r>
                </w:p>
              </w:tc>
            </w:tr>
            <w:tr w14:paraId="74DEE6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left w:val="single" w:color="auto" w:sz="4" w:space="0"/>
                  </w:tcBorders>
                </w:tcPr>
                <w:p w14:paraId="395C453F">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tcBorders>
                  <w:vAlign w:val="center"/>
                </w:tcPr>
                <w:p w14:paraId="32280F0F">
                  <w:pPr>
                    <w:pStyle w:val="7"/>
                    <w:spacing w:before="66" w:line="269" w:lineRule="auto"/>
                    <w:ind w:left="7" w:right="52" w:firstLine="212" w:firstLineChars="101"/>
                    <w:jc w:val="center"/>
                    <w:rPr>
                      <w:rFonts w:ascii="宋体" w:hAnsi="宋体" w:eastAsia="宋体" w:cs="宋体"/>
                      <w:szCs w:val="21"/>
                    </w:rPr>
                  </w:pPr>
                </w:p>
              </w:tc>
              <w:tc>
                <w:tcPr>
                  <w:tcW w:w="6585" w:type="dxa"/>
                  <w:tcBorders>
                    <w:right w:val="single" w:color="auto" w:sz="4" w:space="0"/>
                  </w:tcBorders>
                </w:tcPr>
                <w:p w14:paraId="52D0EB6A">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清洗所有进水过滤器</w:t>
                  </w:r>
                </w:p>
              </w:tc>
            </w:tr>
            <w:tr w14:paraId="4A3DF1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left w:val="single" w:color="auto" w:sz="4" w:space="0"/>
                  </w:tcBorders>
                </w:tcPr>
                <w:p w14:paraId="55CE3FF3">
                  <w:pPr>
                    <w:pStyle w:val="7"/>
                    <w:spacing w:before="66" w:line="269" w:lineRule="auto"/>
                    <w:ind w:left="7" w:right="52" w:firstLine="212" w:firstLineChars="101"/>
                    <w:rPr>
                      <w:rFonts w:ascii="宋体" w:hAnsi="宋体" w:eastAsia="宋体" w:cs="宋体"/>
                      <w:szCs w:val="21"/>
                    </w:rPr>
                  </w:pPr>
                </w:p>
              </w:tc>
              <w:tc>
                <w:tcPr>
                  <w:tcW w:w="1145" w:type="dxa"/>
                  <w:vMerge w:val="restart"/>
                  <w:tcBorders>
                    <w:bottom w:val="nil"/>
                  </w:tcBorders>
                  <w:vAlign w:val="center"/>
                </w:tcPr>
                <w:p w14:paraId="2318D3BC">
                  <w:pPr>
                    <w:pStyle w:val="7"/>
                    <w:spacing w:before="66" w:line="269" w:lineRule="auto"/>
                    <w:ind w:right="52"/>
                    <w:jc w:val="center"/>
                    <w:rPr>
                      <w:rFonts w:ascii="宋体" w:hAnsi="宋体" w:eastAsia="宋体" w:cs="宋体"/>
                      <w:szCs w:val="21"/>
                    </w:rPr>
                  </w:pPr>
                  <w:r>
                    <w:rPr>
                      <w:rFonts w:hint="eastAsia" w:ascii="宋体" w:hAnsi="宋体" w:eastAsia="宋体" w:cs="宋体"/>
                      <w:szCs w:val="21"/>
                    </w:rPr>
                    <w:t>循环泵、管路部分</w:t>
                  </w:r>
                </w:p>
              </w:tc>
              <w:tc>
                <w:tcPr>
                  <w:tcW w:w="6585" w:type="dxa"/>
                  <w:tcBorders>
                    <w:right w:val="single" w:color="auto" w:sz="4" w:space="0"/>
                  </w:tcBorders>
                </w:tcPr>
                <w:p w14:paraId="4328A436">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检查电机运转情况</w:t>
                  </w:r>
                </w:p>
              </w:tc>
            </w:tr>
            <w:tr w14:paraId="27F9BE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left w:val="single" w:color="auto" w:sz="4" w:space="0"/>
                  </w:tcBorders>
                </w:tcPr>
                <w:p w14:paraId="24399F05">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bottom w:val="nil"/>
                  </w:tcBorders>
                  <w:vAlign w:val="center"/>
                </w:tcPr>
                <w:p w14:paraId="665FB189">
                  <w:pPr>
                    <w:pStyle w:val="7"/>
                    <w:spacing w:before="66" w:line="269" w:lineRule="auto"/>
                    <w:ind w:left="7" w:right="52" w:firstLine="212" w:firstLineChars="101"/>
                    <w:jc w:val="center"/>
                    <w:rPr>
                      <w:rFonts w:ascii="宋体" w:hAnsi="宋体" w:eastAsia="宋体" w:cs="宋体"/>
                      <w:szCs w:val="21"/>
                    </w:rPr>
                  </w:pPr>
                </w:p>
              </w:tc>
              <w:tc>
                <w:tcPr>
                  <w:tcW w:w="6585" w:type="dxa"/>
                  <w:tcBorders>
                    <w:right w:val="single" w:color="auto" w:sz="4" w:space="0"/>
                  </w:tcBorders>
                </w:tcPr>
                <w:p w14:paraId="40340301">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对循环管路部分进行紧固</w:t>
                  </w:r>
                </w:p>
              </w:tc>
            </w:tr>
            <w:tr w14:paraId="0571D5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left w:val="single" w:color="auto" w:sz="4" w:space="0"/>
                  </w:tcBorders>
                </w:tcPr>
                <w:p w14:paraId="765C4964">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tcBorders>
                  <w:vAlign w:val="center"/>
                </w:tcPr>
                <w:p w14:paraId="2EB67282">
                  <w:pPr>
                    <w:pStyle w:val="7"/>
                    <w:spacing w:before="66" w:line="269" w:lineRule="auto"/>
                    <w:ind w:left="7" w:right="52" w:firstLine="212" w:firstLineChars="101"/>
                    <w:jc w:val="center"/>
                    <w:rPr>
                      <w:rFonts w:ascii="宋体" w:hAnsi="宋体" w:eastAsia="宋体" w:cs="宋体"/>
                      <w:szCs w:val="21"/>
                    </w:rPr>
                  </w:pPr>
                </w:p>
              </w:tc>
              <w:tc>
                <w:tcPr>
                  <w:tcW w:w="6585" w:type="dxa"/>
                  <w:tcBorders>
                    <w:right w:val="single" w:color="auto" w:sz="4" w:space="0"/>
                  </w:tcBorders>
                </w:tcPr>
                <w:p w14:paraId="257D9BF6">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检查所有管道的连接状态</w:t>
                  </w:r>
                </w:p>
              </w:tc>
            </w:tr>
            <w:tr w14:paraId="5F4F7C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left w:val="single" w:color="auto" w:sz="4" w:space="0"/>
                    <w:bottom w:val="single" w:color="auto" w:sz="4" w:space="0"/>
                  </w:tcBorders>
                </w:tcPr>
                <w:p w14:paraId="09790C11">
                  <w:pPr>
                    <w:pStyle w:val="7"/>
                    <w:spacing w:before="66" w:line="269" w:lineRule="auto"/>
                    <w:ind w:left="7" w:right="52" w:firstLine="212" w:firstLineChars="101"/>
                    <w:rPr>
                      <w:rFonts w:ascii="宋体" w:hAnsi="宋体" w:eastAsia="宋体" w:cs="宋体"/>
                      <w:szCs w:val="21"/>
                    </w:rPr>
                  </w:pPr>
                </w:p>
              </w:tc>
              <w:tc>
                <w:tcPr>
                  <w:tcW w:w="1145" w:type="dxa"/>
                  <w:vMerge w:val="restart"/>
                  <w:tcBorders>
                    <w:bottom w:val="single" w:color="auto" w:sz="4" w:space="0"/>
                  </w:tcBorders>
                  <w:vAlign w:val="center"/>
                </w:tcPr>
                <w:p w14:paraId="1A4D7E94">
                  <w:pPr>
                    <w:pStyle w:val="7"/>
                    <w:spacing w:before="66" w:line="269" w:lineRule="auto"/>
                    <w:ind w:right="52"/>
                    <w:jc w:val="center"/>
                    <w:rPr>
                      <w:rFonts w:ascii="宋体" w:hAnsi="宋体" w:eastAsia="宋体" w:cs="宋体"/>
                      <w:szCs w:val="21"/>
                    </w:rPr>
                  </w:pPr>
                  <w:r>
                    <w:rPr>
                      <w:rFonts w:hint="eastAsia" w:ascii="宋体" w:hAnsi="宋体" w:eastAsia="宋体" w:cs="宋体"/>
                      <w:szCs w:val="21"/>
                    </w:rPr>
                    <w:t>电路控制部分</w:t>
                  </w:r>
                </w:p>
              </w:tc>
              <w:tc>
                <w:tcPr>
                  <w:tcW w:w="6585" w:type="dxa"/>
                  <w:tcBorders>
                    <w:bottom w:val="single" w:color="auto" w:sz="4" w:space="0"/>
                    <w:right w:val="single" w:color="auto" w:sz="4" w:space="0"/>
                  </w:tcBorders>
                </w:tcPr>
                <w:p w14:paraId="736570BF">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检查继电器的吸合情况及电磁阀组合的工作状态</w:t>
                  </w:r>
                </w:p>
              </w:tc>
            </w:tr>
            <w:tr w14:paraId="5026B9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top w:val="single" w:color="auto" w:sz="4" w:space="0"/>
                    <w:left w:val="single" w:color="auto" w:sz="4" w:space="0"/>
                  </w:tcBorders>
                </w:tcPr>
                <w:p w14:paraId="1A81F5F5">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single" w:color="auto" w:sz="4" w:space="0"/>
                    <w:bottom w:val="nil"/>
                  </w:tcBorders>
                  <w:vAlign w:val="center"/>
                </w:tcPr>
                <w:p w14:paraId="0E69BC90">
                  <w:pPr>
                    <w:pStyle w:val="7"/>
                    <w:spacing w:before="66" w:line="269" w:lineRule="auto"/>
                    <w:ind w:left="7" w:right="52" w:firstLine="212" w:firstLineChars="101"/>
                    <w:jc w:val="center"/>
                    <w:rPr>
                      <w:rFonts w:ascii="宋体" w:hAnsi="宋体" w:eastAsia="宋体" w:cs="宋体"/>
                      <w:szCs w:val="21"/>
                    </w:rPr>
                  </w:pPr>
                </w:p>
              </w:tc>
              <w:tc>
                <w:tcPr>
                  <w:tcW w:w="6585" w:type="dxa"/>
                  <w:tcBorders>
                    <w:top w:val="single" w:color="auto" w:sz="4" w:space="0"/>
                  </w:tcBorders>
                </w:tcPr>
                <w:p w14:paraId="1396AF47">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紧固控制柜内端子螺栓，柜内清灰</w:t>
                  </w:r>
                </w:p>
              </w:tc>
            </w:tr>
            <w:tr w14:paraId="363A35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left w:val="single" w:color="auto" w:sz="4" w:space="0"/>
                  </w:tcBorders>
                </w:tcPr>
                <w:p w14:paraId="43FC27B7">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bottom w:val="nil"/>
                  </w:tcBorders>
                  <w:vAlign w:val="center"/>
                </w:tcPr>
                <w:p w14:paraId="0F20D34B">
                  <w:pPr>
                    <w:pStyle w:val="7"/>
                    <w:spacing w:before="66" w:line="269" w:lineRule="auto"/>
                    <w:ind w:left="7" w:right="52" w:firstLine="212" w:firstLineChars="101"/>
                    <w:jc w:val="center"/>
                    <w:rPr>
                      <w:rFonts w:ascii="宋体" w:hAnsi="宋体" w:eastAsia="宋体" w:cs="宋体"/>
                      <w:szCs w:val="21"/>
                    </w:rPr>
                  </w:pPr>
                </w:p>
              </w:tc>
              <w:tc>
                <w:tcPr>
                  <w:tcW w:w="6585" w:type="dxa"/>
                </w:tcPr>
                <w:p w14:paraId="686D51D9">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检查所有的数字输入功能状态</w:t>
                  </w:r>
                </w:p>
              </w:tc>
            </w:tr>
            <w:tr w14:paraId="7DEC5B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left w:val="single" w:color="auto" w:sz="4" w:space="0"/>
                  </w:tcBorders>
                </w:tcPr>
                <w:p w14:paraId="6A994B2F">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bottom w:val="nil"/>
                  </w:tcBorders>
                  <w:vAlign w:val="center"/>
                </w:tcPr>
                <w:p w14:paraId="4BFA9953">
                  <w:pPr>
                    <w:pStyle w:val="7"/>
                    <w:spacing w:before="66" w:line="269" w:lineRule="auto"/>
                    <w:ind w:left="7" w:right="52" w:firstLine="212" w:firstLineChars="101"/>
                    <w:jc w:val="center"/>
                    <w:rPr>
                      <w:rFonts w:ascii="宋体" w:hAnsi="宋体" w:eastAsia="宋体" w:cs="宋体"/>
                      <w:szCs w:val="21"/>
                    </w:rPr>
                  </w:pPr>
                </w:p>
              </w:tc>
              <w:tc>
                <w:tcPr>
                  <w:tcW w:w="6585" w:type="dxa"/>
                </w:tcPr>
                <w:p w14:paraId="3B2753C4">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检查所有的数字输出功能状态</w:t>
                  </w:r>
                </w:p>
              </w:tc>
            </w:tr>
            <w:tr w14:paraId="2DBA17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left w:val="single" w:color="auto" w:sz="4" w:space="0"/>
                  </w:tcBorders>
                </w:tcPr>
                <w:p w14:paraId="264300AD">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tcBorders>
                  <w:vAlign w:val="center"/>
                </w:tcPr>
                <w:p w14:paraId="2DE887AE">
                  <w:pPr>
                    <w:pStyle w:val="7"/>
                    <w:spacing w:before="66" w:line="269" w:lineRule="auto"/>
                    <w:ind w:left="7" w:right="52" w:firstLine="212" w:firstLineChars="101"/>
                    <w:jc w:val="center"/>
                    <w:rPr>
                      <w:rFonts w:ascii="宋体" w:hAnsi="宋体" w:eastAsia="宋体" w:cs="宋体"/>
                      <w:szCs w:val="21"/>
                    </w:rPr>
                  </w:pPr>
                </w:p>
              </w:tc>
              <w:tc>
                <w:tcPr>
                  <w:tcW w:w="6585" w:type="dxa"/>
                </w:tcPr>
                <w:p w14:paraId="24883F8A">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检查所有的模拟输入功能状态</w:t>
                  </w:r>
                </w:p>
              </w:tc>
            </w:tr>
            <w:tr w14:paraId="06810A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248" w:type="dxa"/>
                  <w:vMerge w:val="continue"/>
                  <w:tcBorders>
                    <w:left w:val="single" w:color="auto" w:sz="4" w:space="0"/>
                  </w:tcBorders>
                </w:tcPr>
                <w:p w14:paraId="2812C249">
                  <w:pPr>
                    <w:pStyle w:val="7"/>
                    <w:spacing w:before="66" w:line="269" w:lineRule="auto"/>
                    <w:ind w:left="7" w:right="52" w:firstLine="212" w:firstLineChars="101"/>
                    <w:rPr>
                      <w:rFonts w:ascii="宋体" w:hAnsi="宋体" w:eastAsia="宋体" w:cs="宋体"/>
                      <w:szCs w:val="21"/>
                    </w:rPr>
                  </w:pPr>
                </w:p>
              </w:tc>
              <w:tc>
                <w:tcPr>
                  <w:tcW w:w="1145" w:type="dxa"/>
                  <w:vMerge w:val="restart"/>
                  <w:tcBorders>
                    <w:bottom w:val="nil"/>
                  </w:tcBorders>
                  <w:vAlign w:val="center"/>
                </w:tcPr>
                <w:p w14:paraId="7D2071B0">
                  <w:pPr>
                    <w:pStyle w:val="7"/>
                    <w:spacing w:before="66" w:line="269" w:lineRule="auto"/>
                    <w:ind w:right="52"/>
                    <w:jc w:val="center"/>
                    <w:rPr>
                      <w:rFonts w:ascii="宋体" w:hAnsi="宋体" w:eastAsia="宋体" w:cs="宋体"/>
                      <w:szCs w:val="21"/>
                    </w:rPr>
                  </w:pPr>
                  <w:r>
                    <w:rPr>
                      <w:rFonts w:hint="eastAsia" w:ascii="宋体" w:hAnsi="宋体" w:eastAsia="宋体" w:cs="宋体"/>
                      <w:szCs w:val="21"/>
                    </w:rPr>
                    <w:t>门部分</w:t>
                  </w:r>
                </w:p>
              </w:tc>
              <w:tc>
                <w:tcPr>
                  <w:tcW w:w="6585" w:type="dxa"/>
                </w:tcPr>
                <w:p w14:paraId="29E0BC76">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检查门的上升、锁紧状态</w:t>
                  </w:r>
                </w:p>
              </w:tc>
            </w:tr>
            <w:tr w14:paraId="0F52F3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left w:val="single" w:color="auto" w:sz="4" w:space="0"/>
                  </w:tcBorders>
                </w:tcPr>
                <w:p w14:paraId="63B9F410">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bottom w:val="nil"/>
                  </w:tcBorders>
                  <w:vAlign w:val="center"/>
                </w:tcPr>
                <w:p w14:paraId="725B91DE">
                  <w:pPr>
                    <w:pStyle w:val="7"/>
                    <w:spacing w:before="66" w:line="269" w:lineRule="auto"/>
                    <w:ind w:left="7" w:right="52" w:firstLine="212" w:firstLineChars="101"/>
                    <w:jc w:val="center"/>
                    <w:rPr>
                      <w:rFonts w:ascii="宋体" w:hAnsi="宋体" w:eastAsia="宋体" w:cs="宋体"/>
                      <w:szCs w:val="21"/>
                    </w:rPr>
                  </w:pPr>
                </w:p>
              </w:tc>
              <w:tc>
                <w:tcPr>
                  <w:tcW w:w="6585" w:type="dxa"/>
                </w:tcPr>
                <w:p w14:paraId="6CC4D383">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检查马达、限位开关、安全状态</w:t>
                  </w:r>
                </w:p>
              </w:tc>
            </w:tr>
            <w:tr w14:paraId="65BCF3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left w:val="single" w:color="auto" w:sz="4" w:space="0"/>
                  </w:tcBorders>
                </w:tcPr>
                <w:p w14:paraId="4EBB974E">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bottom w:val="nil"/>
                  </w:tcBorders>
                  <w:vAlign w:val="center"/>
                </w:tcPr>
                <w:p w14:paraId="1FD67F19">
                  <w:pPr>
                    <w:pStyle w:val="7"/>
                    <w:spacing w:before="66" w:line="269" w:lineRule="auto"/>
                    <w:ind w:left="7" w:right="52" w:firstLine="212" w:firstLineChars="101"/>
                    <w:jc w:val="center"/>
                    <w:rPr>
                      <w:rFonts w:ascii="宋体" w:hAnsi="宋体" w:eastAsia="宋体" w:cs="宋体"/>
                      <w:szCs w:val="21"/>
                    </w:rPr>
                  </w:pPr>
                </w:p>
              </w:tc>
              <w:tc>
                <w:tcPr>
                  <w:tcW w:w="6585" w:type="dxa"/>
                </w:tcPr>
                <w:p w14:paraId="6E1E4A44">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检查门的互锁功能、安全功能</w:t>
                  </w:r>
                </w:p>
              </w:tc>
            </w:tr>
            <w:tr w14:paraId="206EA0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left w:val="single" w:color="auto" w:sz="4" w:space="0"/>
                  </w:tcBorders>
                </w:tcPr>
                <w:p w14:paraId="15CF946D">
                  <w:pPr>
                    <w:pStyle w:val="7"/>
                    <w:spacing w:before="66" w:line="269" w:lineRule="auto"/>
                    <w:ind w:left="7" w:right="52" w:firstLine="212" w:firstLineChars="101"/>
                    <w:rPr>
                      <w:rFonts w:ascii="宋体" w:hAnsi="宋体" w:eastAsia="宋体" w:cs="宋体"/>
                      <w:szCs w:val="21"/>
                    </w:rPr>
                  </w:pPr>
                </w:p>
              </w:tc>
              <w:tc>
                <w:tcPr>
                  <w:tcW w:w="1145" w:type="dxa"/>
                  <w:vMerge w:val="continue"/>
                  <w:tcBorders>
                    <w:top w:val="nil"/>
                  </w:tcBorders>
                  <w:vAlign w:val="center"/>
                </w:tcPr>
                <w:p w14:paraId="3D9C19AA">
                  <w:pPr>
                    <w:pStyle w:val="7"/>
                    <w:spacing w:before="66" w:line="269" w:lineRule="auto"/>
                    <w:ind w:left="7" w:right="52" w:firstLine="212" w:firstLineChars="101"/>
                    <w:jc w:val="center"/>
                    <w:rPr>
                      <w:rFonts w:ascii="宋体" w:hAnsi="宋体" w:eastAsia="宋体" w:cs="宋体"/>
                      <w:szCs w:val="21"/>
                    </w:rPr>
                  </w:pPr>
                </w:p>
              </w:tc>
              <w:tc>
                <w:tcPr>
                  <w:tcW w:w="6585" w:type="dxa"/>
                </w:tcPr>
                <w:p w14:paraId="6765959F">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检查门封</w:t>
                  </w:r>
                </w:p>
              </w:tc>
            </w:tr>
            <w:tr w14:paraId="225DE7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left w:val="single" w:color="auto" w:sz="4" w:space="0"/>
                  </w:tcBorders>
                </w:tcPr>
                <w:p w14:paraId="5B870D6D">
                  <w:pPr>
                    <w:pStyle w:val="7"/>
                    <w:spacing w:before="66" w:line="269" w:lineRule="auto"/>
                    <w:ind w:left="7" w:right="52" w:firstLine="212" w:firstLineChars="101"/>
                    <w:rPr>
                      <w:rFonts w:ascii="宋体" w:hAnsi="宋体" w:eastAsia="宋体" w:cs="宋体"/>
                      <w:szCs w:val="21"/>
                    </w:rPr>
                  </w:pPr>
                </w:p>
              </w:tc>
              <w:tc>
                <w:tcPr>
                  <w:tcW w:w="1145" w:type="dxa"/>
                  <w:vMerge w:val="restart"/>
                  <w:vAlign w:val="center"/>
                </w:tcPr>
                <w:p w14:paraId="7BEF4EB6">
                  <w:pPr>
                    <w:pStyle w:val="7"/>
                    <w:spacing w:before="66" w:line="269" w:lineRule="auto"/>
                    <w:ind w:right="52"/>
                    <w:jc w:val="center"/>
                    <w:rPr>
                      <w:rFonts w:ascii="宋体" w:hAnsi="宋体" w:eastAsia="宋体" w:cs="宋体"/>
                      <w:szCs w:val="21"/>
                    </w:rPr>
                  </w:pPr>
                  <w:r>
                    <w:rPr>
                      <w:rFonts w:hint="eastAsia" w:ascii="宋体" w:hAnsi="宋体" w:eastAsia="宋体" w:cs="宋体"/>
                      <w:szCs w:val="21"/>
                    </w:rPr>
                    <w:t>其他</w:t>
                  </w:r>
                </w:p>
              </w:tc>
              <w:tc>
                <w:tcPr>
                  <w:tcW w:w="6585" w:type="dxa"/>
                </w:tcPr>
                <w:p w14:paraId="4BE770D2">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调试运行所有程序，检查自动控制状态</w:t>
                  </w:r>
                </w:p>
              </w:tc>
            </w:tr>
            <w:tr w14:paraId="0296B9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248" w:type="dxa"/>
                  <w:vMerge w:val="continue"/>
                  <w:tcBorders>
                    <w:left w:val="single" w:color="auto" w:sz="4" w:space="0"/>
                  </w:tcBorders>
                </w:tcPr>
                <w:p w14:paraId="2A552B16">
                  <w:pPr>
                    <w:pStyle w:val="7"/>
                    <w:spacing w:before="66" w:line="269" w:lineRule="auto"/>
                    <w:ind w:left="7" w:right="52" w:firstLine="212" w:firstLineChars="101"/>
                    <w:rPr>
                      <w:rFonts w:ascii="宋体" w:hAnsi="宋体" w:eastAsia="宋体" w:cs="宋体"/>
                      <w:szCs w:val="21"/>
                    </w:rPr>
                  </w:pPr>
                </w:p>
              </w:tc>
              <w:tc>
                <w:tcPr>
                  <w:tcW w:w="1145" w:type="dxa"/>
                  <w:vMerge w:val="continue"/>
                </w:tcPr>
                <w:p w14:paraId="409638DF">
                  <w:pPr>
                    <w:pStyle w:val="7"/>
                    <w:spacing w:before="66" w:line="269" w:lineRule="auto"/>
                    <w:ind w:left="7" w:right="52" w:firstLine="212" w:firstLineChars="101"/>
                    <w:rPr>
                      <w:rFonts w:ascii="宋体" w:hAnsi="宋体" w:eastAsia="宋体" w:cs="宋体"/>
                      <w:szCs w:val="21"/>
                    </w:rPr>
                  </w:pPr>
                </w:p>
              </w:tc>
              <w:tc>
                <w:tcPr>
                  <w:tcW w:w="6585" w:type="dxa"/>
                </w:tcPr>
                <w:p w14:paraId="2E12A699">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检测供电电压状态，检查变压器状态和电压</w:t>
                  </w:r>
                </w:p>
              </w:tc>
            </w:tr>
            <w:tr w14:paraId="0A9539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248" w:type="dxa"/>
                  <w:vMerge w:val="continue"/>
                  <w:tcBorders>
                    <w:left w:val="single" w:color="auto" w:sz="4" w:space="0"/>
                  </w:tcBorders>
                </w:tcPr>
                <w:p w14:paraId="09A79265">
                  <w:pPr>
                    <w:pStyle w:val="7"/>
                    <w:spacing w:before="66" w:line="269" w:lineRule="auto"/>
                    <w:ind w:left="7" w:right="52" w:firstLine="212" w:firstLineChars="101"/>
                    <w:rPr>
                      <w:rFonts w:ascii="宋体" w:hAnsi="宋体" w:eastAsia="宋体" w:cs="宋体"/>
                      <w:szCs w:val="21"/>
                    </w:rPr>
                  </w:pPr>
                </w:p>
              </w:tc>
              <w:tc>
                <w:tcPr>
                  <w:tcW w:w="1145" w:type="dxa"/>
                  <w:vMerge w:val="continue"/>
                </w:tcPr>
                <w:p w14:paraId="436D49EF">
                  <w:pPr>
                    <w:pStyle w:val="7"/>
                    <w:spacing w:before="66" w:line="269" w:lineRule="auto"/>
                    <w:ind w:left="7" w:right="52" w:firstLine="212" w:firstLineChars="101"/>
                    <w:rPr>
                      <w:rFonts w:ascii="宋体" w:hAnsi="宋体" w:eastAsia="宋体" w:cs="宋体"/>
                      <w:szCs w:val="21"/>
                    </w:rPr>
                  </w:pPr>
                </w:p>
              </w:tc>
              <w:tc>
                <w:tcPr>
                  <w:tcW w:w="6585" w:type="dxa"/>
                </w:tcPr>
                <w:p w14:paraId="1285EA02">
                  <w:pPr>
                    <w:pStyle w:val="7"/>
                    <w:spacing w:before="66" w:line="269" w:lineRule="auto"/>
                    <w:ind w:left="7" w:right="52" w:firstLine="212" w:firstLineChars="101"/>
                    <w:rPr>
                      <w:rFonts w:ascii="宋体" w:hAnsi="宋体" w:eastAsia="宋体" w:cs="宋体"/>
                      <w:szCs w:val="21"/>
                    </w:rPr>
                  </w:pPr>
                  <w:r>
                    <w:rPr>
                      <w:rFonts w:hint="eastAsia" w:ascii="宋体" w:hAnsi="宋体" w:eastAsia="宋体" w:cs="宋体"/>
                      <w:szCs w:val="21"/>
                    </w:rPr>
                    <w:t>检测烘干效果、过热保护状态</w:t>
                  </w:r>
                </w:p>
              </w:tc>
            </w:tr>
            <w:tr w14:paraId="66A94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248" w:type="dxa"/>
                  <w:vMerge w:val="continue"/>
                  <w:tcBorders>
                    <w:left w:val="single" w:color="auto" w:sz="4" w:space="0"/>
                  </w:tcBorders>
                </w:tcPr>
                <w:p w14:paraId="1190288E">
                  <w:pPr>
                    <w:pStyle w:val="7"/>
                    <w:spacing w:before="66" w:line="269" w:lineRule="auto"/>
                    <w:ind w:left="7" w:right="52" w:firstLine="212" w:firstLineChars="101"/>
                    <w:rPr>
                      <w:rFonts w:ascii="宋体" w:hAnsi="宋体" w:eastAsia="宋体" w:cs="宋体"/>
                      <w:szCs w:val="21"/>
                    </w:rPr>
                  </w:pPr>
                </w:p>
              </w:tc>
              <w:tc>
                <w:tcPr>
                  <w:tcW w:w="1145" w:type="dxa"/>
                  <w:vMerge w:val="continue"/>
                </w:tcPr>
                <w:p w14:paraId="0FB7B859">
                  <w:pPr>
                    <w:pStyle w:val="7"/>
                    <w:spacing w:before="66" w:line="269" w:lineRule="auto"/>
                    <w:ind w:left="7" w:right="52" w:firstLine="212" w:firstLineChars="101"/>
                    <w:rPr>
                      <w:rFonts w:ascii="宋体" w:hAnsi="宋体" w:eastAsia="宋体" w:cs="宋体"/>
                      <w:szCs w:val="21"/>
                    </w:rPr>
                  </w:pPr>
                </w:p>
              </w:tc>
              <w:tc>
                <w:tcPr>
                  <w:tcW w:w="6585" w:type="dxa"/>
                </w:tcPr>
                <w:p w14:paraId="4478933E">
                  <w:pPr>
                    <w:pStyle w:val="7"/>
                    <w:spacing w:before="66" w:line="269" w:lineRule="auto"/>
                    <w:ind w:left="7" w:right="52" w:firstLine="230" w:firstLineChars="101"/>
                    <w:rPr>
                      <w:rFonts w:ascii="宋体" w:hAnsi="宋体" w:eastAsia="宋体" w:cs="宋体"/>
                      <w:szCs w:val="21"/>
                    </w:rPr>
                  </w:pPr>
                  <w:r>
                    <w:rPr>
                      <w:rFonts w:hint="eastAsia" w:ascii="宋体" w:hAnsi="宋体" w:eastAsia="宋体" w:cs="宋体"/>
                      <w:spacing w:val="9"/>
                      <w:szCs w:val="21"/>
                    </w:rPr>
                    <w:t>检测压力开关的工作压力值</w:t>
                  </w:r>
                </w:p>
              </w:tc>
            </w:tr>
            <w:tr w14:paraId="5D7C9E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248" w:type="dxa"/>
                  <w:vMerge w:val="continue"/>
                  <w:tcBorders>
                    <w:left w:val="single" w:color="auto" w:sz="4" w:space="0"/>
                  </w:tcBorders>
                </w:tcPr>
                <w:p w14:paraId="2E38957D">
                  <w:pPr>
                    <w:pStyle w:val="7"/>
                    <w:spacing w:before="66" w:line="269" w:lineRule="auto"/>
                    <w:ind w:left="7" w:right="52" w:firstLine="212" w:firstLineChars="101"/>
                    <w:rPr>
                      <w:rFonts w:ascii="宋体" w:hAnsi="宋体" w:eastAsia="宋体" w:cs="宋体"/>
                      <w:szCs w:val="21"/>
                    </w:rPr>
                  </w:pPr>
                </w:p>
              </w:tc>
              <w:tc>
                <w:tcPr>
                  <w:tcW w:w="1145" w:type="dxa"/>
                  <w:vMerge w:val="continue"/>
                </w:tcPr>
                <w:p w14:paraId="5E292CEE">
                  <w:pPr>
                    <w:pStyle w:val="7"/>
                    <w:spacing w:before="66" w:line="269" w:lineRule="auto"/>
                    <w:ind w:left="7" w:right="52" w:firstLine="212" w:firstLineChars="101"/>
                    <w:rPr>
                      <w:rFonts w:ascii="宋体" w:hAnsi="宋体" w:eastAsia="宋体" w:cs="宋体"/>
                      <w:szCs w:val="21"/>
                    </w:rPr>
                  </w:pPr>
                </w:p>
              </w:tc>
              <w:tc>
                <w:tcPr>
                  <w:tcW w:w="6585" w:type="dxa"/>
                </w:tcPr>
                <w:p w14:paraId="378CE61B">
                  <w:pPr>
                    <w:pStyle w:val="7"/>
                    <w:spacing w:before="66" w:line="269" w:lineRule="auto"/>
                    <w:ind w:left="7" w:right="52" w:firstLine="230" w:firstLineChars="101"/>
                    <w:rPr>
                      <w:rFonts w:ascii="宋体" w:hAnsi="宋体" w:eastAsia="宋体" w:cs="宋体"/>
                      <w:szCs w:val="21"/>
                    </w:rPr>
                  </w:pPr>
                  <w:r>
                    <w:rPr>
                      <w:rFonts w:hint="eastAsia" w:ascii="宋体" w:hAnsi="宋体" w:eastAsia="宋体" w:cs="宋体"/>
                      <w:spacing w:val="9"/>
                      <w:szCs w:val="21"/>
                    </w:rPr>
                    <w:t>检查蠕动泵的工作状态，进行进液的准确性校验</w:t>
                  </w:r>
                </w:p>
              </w:tc>
            </w:tr>
            <w:tr w14:paraId="52893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248" w:type="dxa"/>
                  <w:vMerge w:val="continue"/>
                  <w:tcBorders>
                    <w:left w:val="single" w:color="auto" w:sz="4" w:space="0"/>
                  </w:tcBorders>
                </w:tcPr>
                <w:p w14:paraId="62F542E2">
                  <w:pPr>
                    <w:pStyle w:val="7"/>
                    <w:spacing w:before="66" w:line="269" w:lineRule="auto"/>
                    <w:ind w:left="7" w:right="52" w:firstLine="212" w:firstLineChars="101"/>
                    <w:rPr>
                      <w:rFonts w:ascii="宋体" w:hAnsi="宋体" w:eastAsia="宋体" w:cs="宋体"/>
                      <w:szCs w:val="21"/>
                    </w:rPr>
                  </w:pPr>
                </w:p>
              </w:tc>
              <w:tc>
                <w:tcPr>
                  <w:tcW w:w="1145" w:type="dxa"/>
                  <w:vMerge w:val="continue"/>
                </w:tcPr>
                <w:p w14:paraId="7EA4021E">
                  <w:pPr>
                    <w:pStyle w:val="7"/>
                    <w:spacing w:before="66" w:line="269" w:lineRule="auto"/>
                    <w:ind w:left="7" w:right="52" w:firstLine="212" w:firstLineChars="101"/>
                    <w:rPr>
                      <w:rFonts w:ascii="宋体" w:hAnsi="宋体" w:eastAsia="宋体" w:cs="宋体"/>
                      <w:szCs w:val="21"/>
                    </w:rPr>
                  </w:pPr>
                </w:p>
              </w:tc>
              <w:tc>
                <w:tcPr>
                  <w:tcW w:w="6585" w:type="dxa"/>
                </w:tcPr>
                <w:p w14:paraId="291C9F93">
                  <w:pPr>
                    <w:pStyle w:val="7"/>
                    <w:spacing w:before="66" w:line="269" w:lineRule="auto"/>
                    <w:ind w:left="7" w:right="52" w:firstLine="230" w:firstLineChars="101"/>
                    <w:rPr>
                      <w:rFonts w:ascii="宋体" w:hAnsi="宋体" w:eastAsia="宋体" w:cs="宋体"/>
                      <w:szCs w:val="21"/>
                    </w:rPr>
                  </w:pPr>
                  <w:r>
                    <w:rPr>
                      <w:rFonts w:hint="eastAsia" w:ascii="宋体" w:hAnsi="宋体" w:eastAsia="宋体" w:cs="宋体"/>
                      <w:spacing w:val="9"/>
                      <w:szCs w:val="21"/>
                    </w:rPr>
                    <w:t>检查摇臂的转动状态，清洗摇臂内部</w:t>
                  </w:r>
                </w:p>
              </w:tc>
            </w:tr>
            <w:tr w14:paraId="2D9C95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248" w:type="dxa"/>
                  <w:vMerge w:val="continue"/>
                  <w:tcBorders>
                    <w:left w:val="single" w:color="auto" w:sz="4" w:space="0"/>
                  </w:tcBorders>
                </w:tcPr>
                <w:p w14:paraId="5D597CF9">
                  <w:pPr>
                    <w:pStyle w:val="7"/>
                    <w:spacing w:before="66" w:line="269" w:lineRule="auto"/>
                    <w:ind w:left="7" w:right="52" w:firstLine="212" w:firstLineChars="101"/>
                    <w:rPr>
                      <w:rFonts w:ascii="宋体" w:hAnsi="宋体" w:eastAsia="宋体" w:cs="宋体"/>
                      <w:szCs w:val="21"/>
                    </w:rPr>
                  </w:pPr>
                </w:p>
              </w:tc>
              <w:tc>
                <w:tcPr>
                  <w:tcW w:w="1145" w:type="dxa"/>
                  <w:vMerge w:val="continue"/>
                </w:tcPr>
                <w:p w14:paraId="57C978C4">
                  <w:pPr>
                    <w:pStyle w:val="7"/>
                    <w:spacing w:before="66" w:line="269" w:lineRule="auto"/>
                    <w:ind w:left="7" w:right="52" w:firstLine="212" w:firstLineChars="101"/>
                    <w:rPr>
                      <w:rFonts w:ascii="宋体" w:hAnsi="宋体" w:eastAsia="宋体" w:cs="宋体"/>
                      <w:szCs w:val="21"/>
                    </w:rPr>
                  </w:pPr>
                </w:p>
              </w:tc>
              <w:tc>
                <w:tcPr>
                  <w:tcW w:w="6585" w:type="dxa"/>
                </w:tcPr>
                <w:p w14:paraId="0AACA814">
                  <w:pPr>
                    <w:pStyle w:val="7"/>
                    <w:spacing w:before="66" w:line="269" w:lineRule="auto"/>
                    <w:ind w:left="7" w:right="52" w:firstLine="228" w:firstLineChars="101"/>
                    <w:rPr>
                      <w:rFonts w:ascii="宋体" w:hAnsi="宋体" w:eastAsia="宋体" w:cs="宋体"/>
                      <w:szCs w:val="21"/>
                    </w:rPr>
                  </w:pPr>
                  <w:r>
                    <w:rPr>
                      <w:rFonts w:hint="eastAsia" w:ascii="宋体" w:hAnsi="宋体" w:eastAsia="宋体" w:cs="宋体"/>
                      <w:spacing w:val="8"/>
                      <w:szCs w:val="21"/>
                    </w:rPr>
                    <w:t>检查空气过滤器</w:t>
                  </w:r>
                </w:p>
              </w:tc>
            </w:tr>
            <w:tr w14:paraId="6F0BCA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248" w:type="dxa"/>
                  <w:vMerge w:val="continue"/>
                  <w:tcBorders>
                    <w:left w:val="single" w:color="auto" w:sz="4" w:space="0"/>
                  </w:tcBorders>
                </w:tcPr>
                <w:p w14:paraId="71583DE8">
                  <w:pPr>
                    <w:pStyle w:val="7"/>
                    <w:spacing w:before="66" w:line="269" w:lineRule="auto"/>
                    <w:ind w:left="7" w:right="52" w:firstLine="212" w:firstLineChars="101"/>
                    <w:rPr>
                      <w:rFonts w:ascii="宋体" w:hAnsi="宋体" w:eastAsia="宋体" w:cs="宋体"/>
                      <w:szCs w:val="21"/>
                    </w:rPr>
                  </w:pPr>
                </w:p>
              </w:tc>
              <w:tc>
                <w:tcPr>
                  <w:tcW w:w="1145" w:type="dxa"/>
                  <w:vMerge w:val="continue"/>
                </w:tcPr>
                <w:p w14:paraId="27BA7FDA">
                  <w:pPr>
                    <w:pStyle w:val="7"/>
                    <w:spacing w:before="66" w:line="269" w:lineRule="auto"/>
                    <w:ind w:left="7" w:right="52" w:firstLine="212" w:firstLineChars="101"/>
                    <w:rPr>
                      <w:rFonts w:ascii="宋体" w:hAnsi="宋体" w:eastAsia="宋体" w:cs="宋体"/>
                      <w:szCs w:val="21"/>
                    </w:rPr>
                  </w:pPr>
                </w:p>
              </w:tc>
              <w:tc>
                <w:tcPr>
                  <w:tcW w:w="6585" w:type="dxa"/>
                </w:tcPr>
                <w:p w14:paraId="3113ED5E">
                  <w:pPr>
                    <w:pStyle w:val="7"/>
                    <w:spacing w:before="66" w:line="269" w:lineRule="auto"/>
                    <w:ind w:left="7" w:right="52" w:firstLine="228" w:firstLineChars="101"/>
                    <w:rPr>
                      <w:rFonts w:ascii="宋体" w:hAnsi="宋体" w:eastAsia="宋体" w:cs="宋体"/>
                      <w:szCs w:val="21"/>
                    </w:rPr>
                  </w:pPr>
                  <w:r>
                    <w:rPr>
                      <w:rFonts w:hint="eastAsia" w:ascii="宋体" w:hAnsi="宋体" w:eastAsia="宋体" w:cs="宋体"/>
                      <w:spacing w:val="8"/>
                      <w:szCs w:val="21"/>
                    </w:rPr>
                    <w:t>检查烘干单向阀的功能</w:t>
                  </w:r>
                </w:p>
              </w:tc>
            </w:tr>
            <w:tr w14:paraId="0778B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248" w:type="dxa"/>
                  <w:vMerge w:val="continue"/>
                  <w:tcBorders>
                    <w:left w:val="single" w:color="auto" w:sz="4" w:space="0"/>
                  </w:tcBorders>
                </w:tcPr>
                <w:p w14:paraId="596C1CD1">
                  <w:pPr>
                    <w:pStyle w:val="7"/>
                    <w:spacing w:before="66" w:line="269" w:lineRule="auto"/>
                    <w:ind w:left="7" w:right="52" w:firstLine="212" w:firstLineChars="101"/>
                    <w:rPr>
                      <w:rFonts w:ascii="宋体" w:hAnsi="宋体" w:eastAsia="宋体" w:cs="宋体"/>
                      <w:szCs w:val="21"/>
                    </w:rPr>
                  </w:pPr>
                </w:p>
              </w:tc>
              <w:tc>
                <w:tcPr>
                  <w:tcW w:w="1145" w:type="dxa"/>
                  <w:vMerge w:val="continue"/>
                </w:tcPr>
                <w:p w14:paraId="5B6C5EDB">
                  <w:pPr>
                    <w:pStyle w:val="7"/>
                    <w:spacing w:before="66" w:line="269" w:lineRule="auto"/>
                    <w:ind w:left="7" w:right="52" w:firstLine="212" w:firstLineChars="101"/>
                    <w:rPr>
                      <w:rFonts w:ascii="宋体" w:hAnsi="宋体" w:eastAsia="宋体" w:cs="宋体"/>
                      <w:szCs w:val="21"/>
                    </w:rPr>
                  </w:pPr>
                </w:p>
              </w:tc>
              <w:tc>
                <w:tcPr>
                  <w:tcW w:w="6585" w:type="dxa"/>
                </w:tcPr>
                <w:p w14:paraId="5C2F7817">
                  <w:pPr>
                    <w:pStyle w:val="7"/>
                    <w:spacing w:before="66" w:line="269" w:lineRule="auto"/>
                    <w:ind w:left="7" w:right="52" w:firstLine="230" w:firstLineChars="101"/>
                    <w:rPr>
                      <w:rFonts w:ascii="宋体" w:hAnsi="宋体" w:eastAsia="宋体" w:cs="宋体"/>
                      <w:szCs w:val="21"/>
                    </w:rPr>
                  </w:pPr>
                  <w:r>
                    <w:rPr>
                      <w:rFonts w:hint="eastAsia" w:ascii="宋体" w:hAnsi="宋体" w:eastAsia="宋体" w:cs="宋体"/>
                      <w:spacing w:val="9"/>
                      <w:szCs w:val="21"/>
                    </w:rPr>
                    <w:t>检查清洗管路单向阀的功能</w:t>
                  </w:r>
                </w:p>
              </w:tc>
            </w:tr>
            <w:tr w14:paraId="7601A0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248" w:type="dxa"/>
                  <w:vMerge w:val="continue"/>
                  <w:tcBorders>
                    <w:left w:val="single" w:color="auto" w:sz="4" w:space="0"/>
                  </w:tcBorders>
                </w:tcPr>
                <w:p w14:paraId="7E175D73">
                  <w:pPr>
                    <w:pStyle w:val="7"/>
                    <w:spacing w:before="66" w:line="269" w:lineRule="auto"/>
                    <w:ind w:left="7" w:right="52" w:firstLine="212" w:firstLineChars="101"/>
                    <w:rPr>
                      <w:rFonts w:ascii="宋体" w:hAnsi="宋体" w:eastAsia="宋体" w:cs="宋体"/>
                      <w:szCs w:val="21"/>
                    </w:rPr>
                  </w:pPr>
                </w:p>
              </w:tc>
              <w:tc>
                <w:tcPr>
                  <w:tcW w:w="1145" w:type="dxa"/>
                  <w:vMerge w:val="continue"/>
                </w:tcPr>
                <w:p w14:paraId="1B771F9E">
                  <w:pPr>
                    <w:pStyle w:val="7"/>
                    <w:spacing w:before="66" w:line="269" w:lineRule="auto"/>
                    <w:ind w:left="7" w:right="52" w:firstLine="212" w:firstLineChars="101"/>
                    <w:rPr>
                      <w:rFonts w:ascii="宋体" w:hAnsi="宋体" w:eastAsia="宋体" w:cs="宋体"/>
                      <w:szCs w:val="21"/>
                    </w:rPr>
                  </w:pPr>
                </w:p>
              </w:tc>
              <w:tc>
                <w:tcPr>
                  <w:tcW w:w="6585" w:type="dxa"/>
                </w:tcPr>
                <w:p w14:paraId="2A272C0C">
                  <w:pPr>
                    <w:pStyle w:val="7"/>
                    <w:spacing w:before="66" w:line="269" w:lineRule="auto"/>
                    <w:ind w:left="7" w:right="52" w:firstLine="230" w:firstLineChars="101"/>
                    <w:rPr>
                      <w:rFonts w:ascii="宋体" w:hAnsi="宋体" w:eastAsia="宋体" w:cs="宋体"/>
                      <w:szCs w:val="21"/>
                    </w:rPr>
                  </w:pPr>
                  <w:r>
                    <w:rPr>
                      <w:rFonts w:hint="eastAsia" w:ascii="宋体" w:hAnsi="宋体" w:eastAsia="宋体" w:cs="宋体"/>
                      <w:spacing w:val="9"/>
                      <w:szCs w:val="21"/>
                    </w:rPr>
                    <w:t>检测排水泵的功能和安全状态</w:t>
                  </w:r>
                </w:p>
              </w:tc>
            </w:tr>
            <w:tr w14:paraId="319B94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248" w:type="dxa"/>
                  <w:vMerge w:val="continue"/>
                  <w:tcBorders>
                    <w:left w:val="single" w:color="auto" w:sz="4" w:space="0"/>
                  </w:tcBorders>
                </w:tcPr>
                <w:p w14:paraId="50D34305">
                  <w:pPr>
                    <w:pStyle w:val="7"/>
                    <w:spacing w:before="66" w:line="269" w:lineRule="auto"/>
                    <w:ind w:left="7" w:right="52" w:firstLine="212" w:firstLineChars="101"/>
                    <w:rPr>
                      <w:rFonts w:ascii="宋体" w:hAnsi="宋体" w:eastAsia="宋体" w:cs="宋体"/>
                      <w:szCs w:val="21"/>
                    </w:rPr>
                  </w:pPr>
                </w:p>
              </w:tc>
              <w:tc>
                <w:tcPr>
                  <w:tcW w:w="1145" w:type="dxa"/>
                  <w:vMerge w:val="continue"/>
                </w:tcPr>
                <w:p w14:paraId="63FCF9D3">
                  <w:pPr>
                    <w:pStyle w:val="7"/>
                    <w:spacing w:before="66" w:line="269" w:lineRule="auto"/>
                    <w:ind w:left="7" w:right="52" w:firstLine="212" w:firstLineChars="101"/>
                    <w:rPr>
                      <w:rFonts w:ascii="宋体" w:hAnsi="宋体" w:eastAsia="宋体" w:cs="宋体"/>
                      <w:szCs w:val="21"/>
                    </w:rPr>
                  </w:pPr>
                </w:p>
              </w:tc>
              <w:tc>
                <w:tcPr>
                  <w:tcW w:w="6585" w:type="dxa"/>
                </w:tcPr>
                <w:p w14:paraId="32BF5214">
                  <w:pPr>
                    <w:pStyle w:val="7"/>
                    <w:spacing w:before="66" w:line="269" w:lineRule="auto"/>
                    <w:ind w:left="7" w:right="52" w:firstLine="230" w:firstLineChars="101"/>
                    <w:rPr>
                      <w:rFonts w:ascii="宋体" w:hAnsi="宋体" w:eastAsia="宋体" w:cs="宋体"/>
                      <w:szCs w:val="21"/>
                    </w:rPr>
                  </w:pPr>
                  <w:r>
                    <w:rPr>
                      <w:rFonts w:hint="eastAsia" w:ascii="宋体" w:hAnsi="宋体" w:eastAsia="宋体" w:cs="宋体"/>
                      <w:spacing w:val="9"/>
                      <w:szCs w:val="21"/>
                    </w:rPr>
                    <w:t>检测水泄漏压力开关的功能</w:t>
                  </w:r>
                </w:p>
              </w:tc>
            </w:tr>
          </w:tbl>
          <w:p w14:paraId="0ABDCE69">
            <w:pPr>
              <w:pStyle w:val="7"/>
              <w:spacing w:before="65" w:line="227" w:lineRule="auto"/>
              <w:ind w:firstLine="508" w:firstLineChars="200"/>
              <w:rPr>
                <w:rFonts w:ascii="宋体" w:hAnsi="宋体" w:eastAsia="宋体" w:cs="宋体"/>
                <w:sz w:val="24"/>
                <w:szCs w:val="24"/>
              </w:rPr>
            </w:pPr>
            <w:r>
              <w:rPr>
                <w:rFonts w:hint="eastAsia" w:ascii="宋体" w:hAnsi="宋体" w:eastAsia="宋体" w:cs="宋体"/>
                <w:spacing w:val="7"/>
                <w:sz w:val="24"/>
                <w:szCs w:val="24"/>
              </w:rPr>
              <w:t>附表</w:t>
            </w:r>
            <w:r>
              <w:rPr>
                <w:rFonts w:hint="eastAsia" w:ascii="宋体" w:hAnsi="宋体" w:eastAsia="宋体" w:cs="宋体"/>
                <w:spacing w:val="-27"/>
                <w:sz w:val="24"/>
                <w:szCs w:val="24"/>
              </w:rPr>
              <w:t xml:space="preserve"> </w:t>
            </w:r>
            <w:r>
              <w:rPr>
                <w:rFonts w:hint="eastAsia" w:ascii="宋体" w:hAnsi="宋体" w:eastAsia="宋体" w:cs="宋体"/>
                <w:spacing w:val="7"/>
                <w:sz w:val="24"/>
                <w:szCs w:val="24"/>
              </w:rPr>
              <w:t>2：消耗性零配件（耗材）更换清单</w:t>
            </w:r>
          </w:p>
          <w:p w14:paraId="3714F97C">
            <w:pPr>
              <w:pStyle w:val="7"/>
              <w:spacing w:before="66" w:line="227" w:lineRule="auto"/>
              <w:ind w:left="280"/>
              <w:outlineLvl w:val="4"/>
              <w:rPr>
                <w:rFonts w:ascii="宋体" w:hAnsi="宋体" w:eastAsia="宋体" w:cs="宋体"/>
                <w:sz w:val="24"/>
                <w:szCs w:val="24"/>
              </w:rPr>
            </w:pPr>
            <w:r>
              <w:rPr>
                <w:rFonts w:hint="eastAsia" w:ascii="宋体" w:hAnsi="宋体" w:eastAsia="宋体" w:cs="宋体"/>
                <w:b/>
                <w:bCs/>
                <w:spacing w:val="8"/>
                <w:sz w:val="24"/>
                <w:szCs w:val="24"/>
              </w:rPr>
              <w:t>（一）全自动清洗机</w:t>
            </w:r>
          </w:p>
          <w:p w14:paraId="61AC1C20">
            <w:pPr>
              <w:spacing w:line="36" w:lineRule="exact"/>
              <w:rPr>
                <w:rFonts w:ascii="宋体" w:hAnsi="宋体" w:eastAsia="宋体" w:cs="宋体"/>
                <w:sz w:val="24"/>
                <w:szCs w:val="24"/>
              </w:rPr>
            </w:pPr>
          </w:p>
          <w:tbl>
            <w:tblPr>
              <w:tblStyle w:val="35"/>
              <w:tblW w:w="8858" w:type="dxa"/>
              <w:tblInd w:w="15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369"/>
              <w:gridCol w:w="3489"/>
            </w:tblGrid>
            <w:tr w14:paraId="4BA86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5369" w:type="dxa"/>
                </w:tcPr>
                <w:p w14:paraId="5A7B4C10">
                  <w:pPr>
                    <w:pStyle w:val="36"/>
                    <w:spacing w:before="36" w:line="227" w:lineRule="auto"/>
                    <w:ind w:left="1431"/>
                    <w:rPr>
                      <w:sz w:val="24"/>
                      <w:szCs w:val="24"/>
                      <w:lang w:eastAsia="zh-CN"/>
                    </w:rPr>
                  </w:pPr>
                  <w:r>
                    <w:rPr>
                      <w:rFonts w:hint="eastAsia"/>
                      <w:b/>
                      <w:bCs/>
                      <w:spacing w:val="7"/>
                      <w:sz w:val="24"/>
                      <w:szCs w:val="24"/>
                      <w:lang w:eastAsia="zh-CN"/>
                    </w:rPr>
                    <w:t>消耗性零配件（耗材）名称</w:t>
                  </w:r>
                </w:p>
              </w:tc>
              <w:tc>
                <w:tcPr>
                  <w:tcW w:w="3489" w:type="dxa"/>
                </w:tcPr>
                <w:p w14:paraId="37CE314D">
                  <w:pPr>
                    <w:pStyle w:val="36"/>
                    <w:spacing w:before="36" w:line="228" w:lineRule="auto"/>
                    <w:ind w:left="1329"/>
                    <w:rPr>
                      <w:sz w:val="24"/>
                      <w:szCs w:val="24"/>
                      <w:lang w:eastAsia="zh-CN"/>
                    </w:rPr>
                  </w:pPr>
                  <w:r>
                    <w:rPr>
                      <w:rFonts w:hint="eastAsia"/>
                      <w:b/>
                      <w:bCs/>
                      <w:spacing w:val="5"/>
                      <w:sz w:val="24"/>
                      <w:szCs w:val="24"/>
                      <w:lang w:eastAsia="zh-CN"/>
                    </w:rPr>
                    <w:t>更换频次</w:t>
                  </w:r>
                </w:p>
              </w:tc>
            </w:tr>
            <w:tr w14:paraId="41A6C9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369" w:type="dxa"/>
                </w:tcPr>
                <w:p w14:paraId="1B113A98">
                  <w:pPr>
                    <w:pStyle w:val="36"/>
                    <w:spacing w:before="32" w:line="228" w:lineRule="auto"/>
                    <w:ind w:left="138"/>
                    <w:rPr>
                      <w:sz w:val="24"/>
                      <w:szCs w:val="24"/>
                      <w:lang w:eastAsia="zh-CN"/>
                    </w:rPr>
                  </w:pPr>
                  <w:r>
                    <w:rPr>
                      <w:rFonts w:hint="eastAsia"/>
                      <w:spacing w:val="4"/>
                      <w:sz w:val="24"/>
                      <w:szCs w:val="24"/>
                      <w:lang w:eastAsia="zh-CN"/>
                    </w:rPr>
                    <w:t>门封（门密封条）</w:t>
                  </w:r>
                </w:p>
              </w:tc>
              <w:tc>
                <w:tcPr>
                  <w:tcW w:w="3489" w:type="dxa"/>
                </w:tcPr>
                <w:p w14:paraId="374035B0">
                  <w:pPr>
                    <w:pStyle w:val="36"/>
                    <w:spacing w:before="32" w:line="228" w:lineRule="auto"/>
                    <w:ind w:left="116"/>
                    <w:rPr>
                      <w:sz w:val="24"/>
                      <w:szCs w:val="24"/>
                      <w:lang w:eastAsia="zh-CN"/>
                    </w:rPr>
                  </w:pPr>
                  <w:r>
                    <w:rPr>
                      <w:rFonts w:hint="eastAsia"/>
                      <w:spacing w:val="8"/>
                      <w:sz w:val="24"/>
                      <w:szCs w:val="24"/>
                      <w:lang w:eastAsia="zh-CN"/>
                    </w:rPr>
                    <w:t>每年更换一次</w:t>
                  </w:r>
                </w:p>
              </w:tc>
            </w:tr>
            <w:tr w14:paraId="7C6407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369" w:type="dxa"/>
                </w:tcPr>
                <w:p w14:paraId="7A0ECB9E">
                  <w:pPr>
                    <w:pStyle w:val="36"/>
                    <w:spacing w:before="30" w:line="228" w:lineRule="auto"/>
                    <w:ind w:left="116"/>
                    <w:rPr>
                      <w:sz w:val="24"/>
                      <w:szCs w:val="24"/>
                      <w:lang w:eastAsia="zh-CN"/>
                    </w:rPr>
                  </w:pPr>
                  <w:r>
                    <w:rPr>
                      <w:rFonts w:hint="eastAsia"/>
                      <w:spacing w:val="7"/>
                      <w:sz w:val="24"/>
                      <w:szCs w:val="24"/>
                      <w:lang w:eastAsia="zh-CN"/>
                    </w:rPr>
                    <w:t>无菌级空气过滤器</w:t>
                  </w:r>
                </w:p>
              </w:tc>
              <w:tc>
                <w:tcPr>
                  <w:tcW w:w="3489" w:type="dxa"/>
                </w:tcPr>
                <w:p w14:paraId="0F2FB148">
                  <w:pPr>
                    <w:pStyle w:val="36"/>
                    <w:spacing w:before="30" w:line="228" w:lineRule="auto"/>
                    <w:ind w:left="114"/>
                    <w:rPr>
                      <w:sz w:val="24"/>
                      <w:szCs w:val="24"/>
                      <w:lang w:eastAsia="zh-CN"/>
                    </w:rPr>
                  </w:pPr>
                  <w:r>
                    <w:rPr>
                      <w:rFonts w:hint="eastAsia"/>
                      <w:spacing w:val="8"/>
                      <w:sz w:val="24"/>
                      <w:szCs w:val="24"/>
                      <w:lang w:eastAsia="zh-CN"/>
                    </w:rPr>
                    <w:t>每年更换一次</w:t>
                  </w:r>
                </w:p>
              </w:tc>
            </w:tr>
          </w:tbl>
          <w:p w14:paraId="20484FE2">
            <w:pPr>
              <w:pStyle w:val="7"/>
              <w:spacing w:before="65" w:line="228" w:lineRule="auto"/>
              <w:outlineLvl w:val="4"/>
              <w:rPr>
                <w:rFonts w:ascii="宋体" w:hAnsi="宋体" w:eastAsia="宋体" w:cs="宋体"/>
                <w:sz w:val="24"/>
                <w:szCs w:val="24"/>
              </w:rPr>
            </w:pPr>
            <w:r>
              <w:rPr>
                <w:rFonts w:hint="eastAsia" w:ascii="宋体" w:hAnsi="宋体" w:eastAsia="宋体" w:cs="宋体"/>
                <w:b/>
                <w:bCs/>
                <w:spacing w:val="6"/>
                <w:sz w:val="24"/>
                <w:szCs w:val="24"/>
              </w:rPr>
              <w:t>（二）高温蒸汽灭菌器</w:t>
            </w:r>
          </w:p>
          <w:p w14:paraId="5682663A">
            <w:pPr>
              <w:spacing w:line="37" w:lineRule="exact"/>
              <w:rPr>
                <w:rFonts w:ascii="宋体" w:hAnsi="宋体" w:eastAsia="宋体" w:cs="宋体"/>
                <w:sz w:val="24"/>
                <w:szCs w:val="24"/>
              </w:rPr>
            </w:pPr>
          </w:p>
          <w:tbl>
            <w:tblPr>
              <w:tblStyle w:val="35"/>
              <w:tblW w:w="8858" w:type="dxa"/>
              <w:tblInd w:w="15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376"/>
              <w:gridCol w:w="3482"/>
            </w:tblGrid>
            <w:tr w14:paraId="0633F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5376" w:type="dxa"/>
                </w:tcPr>
                <w:p w14:paraId="5423FB6B">
                  <w:pPr>
                    <w:pStyle w:val="36"/>
                    <w:spacing w:before="35" w:line="227" w:lineRule="auto"/>
                    <w:ind w:left="1434"/>
                    <w:rPr>
                      <w:sz w:val="24"/>
                      <w:szCs w:val="24"/>
                      <w:lang w:eastAsia="zh-CN"/>
                    </w:rPr>
                  </w:pPr>
                  <w:r>
                    <w:rPr>
                      <w:rFonts w:hint="eastAsia"/>
                      <w:b/>
                      <w:bCs/>
                      <w:spacing w:val="7"/>
                      <w:sz w:val="24"/>
                      <w:szCs w:val="24"/>
                      <w:lang w:eastAsia="zh-CN"/>
                    </w:rPr>
                    <w:t>消耗性零配件（耗材）名称</w:t>
                  </w:r>
                </w:p>
              </w:tc>
              <w:tc>
                <w:tcPr>
                  <w:tcW w:w="3482" w:type="dxa"/>
                </w:tcPr>
                <w:p w14:paraId="0FAE52FB">
                  <w:pPr>
                    <w:pStyle w:val="36"/>
                    <w:spacing w:before="35" w:line="228" w:lineRule="auto"/>
                    <w:ind w:left="1327"/>
                    <w:rPr>
                      <w:sz w:val="24"/>
                      <w:szCs w:val="24"/>
                    </w:rPr>
                  </w:pPr>
                  <w:r>
                    <w:rPr>
                      <w:rFonts w:hint="eastAsia"/>
                      <w:b/>
                      <w:bCs/>
                      <w:spacing w:val="5"/>
                      <w:sz w:val="24"/>
                      <w:szCs w:val="24"/>
                    </w:rPr>
                    <w:t>更换频次</w:t>
                  </w:r>
                </w:p>
              </w:tc>
            </w:tr>
            <w:tr w14:paraId="604376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376" w:type="dxa"/>
                </w:tcPr>
                <w:p w14:paraId="608B9B77">
                  <w:pPr>
                    <w:pStyle w:val="36"/>
                    <w:spacing w:before="32" w:line="228" w:lineRule="auto"/>
                    <w:ind w:left="138"/>
                    <w:rPr>
                      <w:sz w:val="24"/>
                      <w:szCs w:val="24"/>
                    </w:rPr>
                  </w:pPr>
                  <w:r>
                    <w:rPr>
                      <w:rFonts w:hint="eastAsia"/>
                      <w:spacing w:val="4"/>
                      <w:sz w:val="24"/>
                      <w:szCs w:val="24"/>
                    </w:rPr>
                    <w:t>门封（门密封条）</w:t>
                  </w:r>
                </w:p>
              </w:tc>
              <w:tc>
                <w:tcPr>
                  <w:tcW w:w="3482" w:type="dxa"/>
                </w:tcPr>
                <w:p w14:paraId="681FCCB2">
                  <w:pPr>
                    <w:pStyle w:val="36"/>
                    <w:spacing w:before="32" w:line="228" w:lineRule="auto"/>
                    <w:ind w:left="116"/>
                    <w:rPr>
                      <w:sz w:val="24"/>
                      <w:szCs w:val="24"/>
                    </w:rPr>
                  </w:pPr>
                  <w:r>
                    <w:rPr>
                      <w:rFonts w:hint="eastAsia"/>
                      <w:spacing w:val="8"/>
                      <w:sz w:val="24"/>
                      <w:szCs w:val="24"/>
                    </w:rPr>
                    <w:t>每年更换一次</w:t>
                  </w:r>
                </w:p>
              </w:tc>
            </w:tr>
            <w:tr w14:paraId="2D571F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376" w:type="dxa"/>
                </w:tcPr>
                <w:p w14:paraId="05CCC5E2">
                  <w:pPr>
                    <w:pStyle w:val="36"/>
                    <w:spacing w:before="33" w:line="228" w:lineRule="auto"/>
                    <w:ind w:left="116"/>
                    <w:rPr>
                      <w:sz w:val="24"/>
                      <w:szCs w:val="24"/>
                    </w:rPr>
                  </w:pPr>
                  <w:r>
                    <w:rPr>
                      <w:rFonts w:hint="eastAsia"/>
                      <w:spacing w:val="7"/>
                      <w:sz w:val="24"/>
                      <w:szCs w:val="24"/>
                    </w:rPr>
                    <w:t>无菌级</w:t>
                  </w:r>
                  <w:r>
                    <w:rPr>
                      <w:rFonts w:hint="eastAsia"/>
                      <w:spacing w:val="7"/>
                      <w:sz w:val="24"/>
                      <w:szCs w:val="24"/>
                      <w:lang w:eastAsia="zh-CN"/>
                    </w:rPr>
                    <w:t>空气</w:t>
                  </w:r>
                  <w:r>
                    <w:rPr>
                      <w:rFonts w:hint="eastAsia"/>
                      <w:spacing w:val="7"/>
                      <w:sz w:val="24"/>
                      <w:szCs w:val="24"/>
                    </w:rPr>
                    <w:t>过滤器</w:t>
                  </w:r>
                </w:p>
              </w:tc>
              <w:tc>
                <w:tcPr>
                  <w:tcW w:w="3482" w:type="dxa"/>
                </w:tcPr>
                <w:p w14:paraId="7EF61556">
                  <w:pPr>
                    <w:pStyle w:val="36"/>
                    <w:spacing w:before="33" w:line="228" w:lineRule="auto"/>
                    <w:ind w:left="114"/>
                    <w:rPr>
                      <w:sz w:val="24"/>
                      <w:szCs w:val="24"/>
                    </w:rPr>
                  </w:pPr>
                  <w:r>
                    <w:rPr>
                      <w:rFonts w:hint="eastAsia"/>
                      <w:spacing w:val="8"/>
                      <w:sz w:val="24"/>
                      <w:szCs w:val="24"/>
                    </w:rPr>
                    <w:t>每年更换一次</w:t>
                  </w:r>
                </w:p>
              </w:tc>
            </w:tr>
          </w:tbl>
          <w:p w14:paraId="4504DD07">
            <w:pPr>
              <w:widowControl/>
              <w:spacing w:line="340" w:lineRule="exact"/>
              <w:jc w:val="left"/>
              <w:rPr>
                <w:rFonts w:ascii="宋体" w:hAnsi="宋体" w:eastAsia="宋体" w:cs="宋体"/>
                <w:kern w:val="0"/>
                <w:sz w:val="24"/>
                <w:szCs w:val="24"/>
              </w:rPr>
            </w:pPr>
          </w:p>
        </w:tc>
      </w:tr>
      <w:bookmarkEnd w:id="0"/>
      <w:tr w14:paraId="56D2E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3751" w:hRule="atLeast"/>
          <w:tblCellSpacing w:w="0" w:type="dxa"/>
          <w:jc w:val="center"/>
        </w:trPr>
        <w:tc>
          <w:tcPr>
            <w:tcW w:w="1275" w:type="dxa"/>
            <w:vAlign w:val="center"/>
          </w:tcPr>
          <w:p w14:paraId="494FEA8F">
            <w:pPr>
              <w:rPr>
                <w:rFonts w:ascii="宋体" w:hAnsi="宋体" w:eastAsia="宋体" w:cs="宋体"/>
                <w:sz w:val="24"/>
                <w:szCs w:val="24"/>
              </w:rPr>
            </w:pPr>
            <w:r>
              <w:rPr>
                <w:rFonts w:hint="eastAsia" w:ascii="宋体" w:hAnsi="宋体" w:eastAsia="宋体" w:cs="宋体"/>
                <w:sz w:val="24"/>
                <w:szCs w:val="24"/>
              </w:rPr>
              <w:t>商务需求</w:t>
            </w:r>
          </w:p>
        </w:tc>
        <w:tc>
          <w:tcPr>
            <w:tcW w:w="9265" w:type="dxa"/>
            <w:gridSpan w:val="3"/>
            <w:vAlign w:val="center"/>
          </w:tcPr>
          <w:tbl>
            <w:tblPr>
              <w:tblStyle w:val="13"/>
              <w:tblW w:w="88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1666"/>
              <w:gridCol w:w="6445"/>
            </w:tblGrid>
            <w:tr w14:paraId="4F987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748" w:type="dxa"/>
                  <w:vAlign w:val="center"/>
                </w:tcPr>
                <w:p w14:paraId="39B219C5">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序号</w:t>
                  </w:r>
                </w:p>
              </w:tc>
              <w:tc>
                <w:tcPr>
                  <w:tcW w:w="1666" w:type="dxa"/>
                  <w:vAlign w:val="center"/>
                </w:tcPr>
                <w:p w14:paraId="7914067A">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目录</w:t>
                  </w:r>
                </w:p>
              </w:tc>
              <w:tc>
                <w:tcPr>
                  <w:tcW w:w="6445" w:type="dxa"/>
                  <w:vAlign w:val="center"/>
                </w:tcPr>
                <w:p w14:paraId="1500DBFD">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商务需求描述</w:t>
                  </w:r>
                </w:p>
              </w:tc>
            </w:tr>
            <w:tr w14:paraId="47073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48" w:type="dxa"/>
                  <w:shd w:val="clear" w:color="auto" w:fill="auto"/>
                  <w:vAlign w:val="center"/>
                </w:tcPr>
                <w:p w14:paraId="2EE31189">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666" w:type="dxa"/>
                  <w:vAlign w:val="center"/>
                </w:tcPr>
                <w:p w14:paraId="4403DB0D">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服务期</w:t>
                  </w:r>
                </w:p>
              </w:tc>
              <w:tc>
                <w:tcPr>
                  <w:tcW w:w="6445" w:type="dxa"/>
                  <w:vAlign w:val="center"/>
                </w:tcPr>
                <w:p w14:paraId="7D73C17E">
                  <w:pPr>
                    <w:widowControl/>
                    <w:spacing w:line="340" w:lineRule="exact"/>
                    <w:jc w:val="left"/>
                    <w:rPr>
                      <w:rFonts w:ascii="宋体" w:hAnsi="宋体" w:eastAsia="宋体" w:cs="宋体"/>
                      <w:kern w:val="0"/>
                      <w:sz w:val="24"/>
                      <w:szCs w:val="24"/>
                    </w:rPr>
                  </w:pPr>
                  <w:r>
                    <w:rPr>
                      <w:rFonts w:hint="eastAsia" w:ascii="宋体" w:hAnsi="宋体" w:eastAsia="宋体" w:cs="宋体"/>
                      <w:kern w:val="0"/>
                      <w:sz w:val="24"/>
                      <w:szCs w:val="24"/>
                    </w:rPr>
                    <w:t>服务时间为1年，续保时间从签订合同之日起计算。维保期内需免费提供相关软硬件的技术支持服务。维保期满后采购方根据中标方的履约情况按需进行续签，一年一签，续签次数不超两次。</w:t>
                  </w:r>
                </w:p>
              </w:tc>
            </w:tr>
            <w:tr w14:paraId="3A424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48" w:type="dxa"/>
                  <w:shd w:val="clear" w:color="auto" w:fill="auto"/>
                  <w:vAlign w:val="center"/>
                </w:tcPr>
                <w:p w14:paraId="08E22952">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666" w:type="dxa"/>
                  <w:vAlign w:val="center"/>
                </w:tcPr>
                <w:p w14:paraId="1383E738">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预算说明</w:t>
                  </w:r>
                </w:p>
              </w:tc>
              <w:tc>
                <w:tcPr>
                  <w:tcW w:w="6445" w:type="dxa"/>
                  <w:vAlign w:val="center"/>
                </w:tcPr>
                <w:p w14:paraId="56E2F53B">
                  <w:pPr>
                    <w:widowControl/>
                    <w:spacing w:line="340" w:lineRule="exact"/>
                    <w:jc w:val="left"/>
                    <w:rPr>
                      <w:rFonts w:ascii="宋体" w:hAnsi="宋体" w:eastAsia="宋体" w:cs="宋体"/>
                      <w:kern w:val="0"/>
                      <w:sz w:val="24"/>
                      <w:szCs w:val="24"/>
                    </w:rPr>
                  </w:pPr>
                  <w:r>
                    <w:rPr>
                      <w:rFonts w:hint="eastAsia" w:ascii="宋体" w:hAnsi="宋体" w:eastAsia="宋体" w:cs="宋体"/>
                      <w:kern w:val="0"/>
                      <w:sz w:val="24"/>
                      <w:szCs w:val="24"/>
                    </w:rPr>
                    <w:t>本项目报价不允许超过本次预算限额。</w:t>
                  </w:r>
                </w:p>
              </w:tc>
            </w:tr>
            <w:tr w14:paraId="04061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48" w:type="dxa"/>
                  <w:shd w:val="clear" w:color="auto" w:fill="auto"/>
                  <w:vAlign w:val="center"/>
                </w:tcPr>
                <w:p w14:paraId="4FBF6FCB">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666" w:type="dxa"/>
                  <w:vAlign w:val="center"/>
                </w:tcPr>
                <w:p w14:paraId="46BE0CAA">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维修响应及故障解决时间</w:t>
                  </w:r>
                </w:p>
              </w:tc>
              <w:tc>
                <w:tcPr>
                  <w:tcW w:w="6445" w:type="dxa"/>
                  <w:vAlign w:val="center"/>
                </w:tcPr>
                <w:p w14:paraId="26AAC289">
                  <w:pPr>
                    <w:widowControl/>
                    <w:spacing w:line="340" w:lineRule="exact"/>
                    <w:jc w:val="left"/>
                    <w:rPr>
                      <w:rFonts w:ascii="宋体" w:hAnsi="宋体" w:eastAsia="宋体" w:cs="宋体"/>
                      <w:kern w:val="0"/>
                      <w:sz w:val="24"/>
                      <w:szCs w:val="24"/>
                    </w:rPr>
                  </w:pPr>
                  <w:r>
                    <w:rPr>
                      <w:rFonts w:hint="eastAsia" w:ascii="宋体" w:hAnsi="宋体" w:eastAsia="宋体" w:cs="宋体"/>
                      <w:kern w:val="0"/>
                      <w:sz w:val="24"/>
                      <w:szCs w:val="24"/>
                    </w:rPr>
                    <w:t>提供7*24小时响应服务，需2小时内响应，4小时内到达医院现场，48小时内完成故障排除。每次维修后需提供维修报告医院签字确认。</w:t>
                  </w:r>
                </w:p>
              </w:tc>
            </w:tr>
            <w:tr w14:paraId="7923E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748" w:type="dxa"/>
                  <w:shd w:val="clear" w:color="auto" w:fill="auto"/>
                  <w:vAlign w:val="center"/>
                </w:tcPr>
                <w:p w14:paraId="520850C0">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666" w:type="dxa"/>
                  <w:vAlign w:val="center"/>
                </w:tcPr>
                <w:p w14:paraId="17B0233B">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关于付款</w:t>
                  </w:r>
                </w:p>
              </w:tc>
              <w:tc>
                <w:tcPr>
                  <w:tcW w:w="6445" w:type="dxa"/>
                  <w:vAlign w:val="center"/>
                </w:tcPr>
                <w:p w14:paraId="02EDB1C5">
                  <w:pPr>
                    <w:widowControl/>
                    <w:spacing w:line="340" w:lineRule="exact"/>
                    <w:jc w:val="left"/>
                    <w:rPr>
                      <w:rFonts w:ascii="宋体" w:hAnsi="宋体" w:eastAsia="宋体" w:cs="宋体"/>
                      <w:kern w:val="0"/>
                      <w:sz w:val="24"/>
                      <w:szCs w:val="24"/>
                    </w:rPr>
                  </w:pPr>
                  <w:r>
                    <w:rPr>
                      <w:rFonts w:hint="eastAsia" w:ascii="宋体" w:hAnsi="宋体" w:eastAsia="宋体" w:cs="宋体"/>
                      <w:kern w:val="0"/>
                      <w:sz w:val="24"/>
                      <w:szCs w:val="24"/>
                    </w:rPr>
                    <w:t xml:space="preserve">合同签订，每半年完成项目规定的各项条款并成功验收后支付50%。 </w:t>
                  </w:r>
                </w:p>
              </w:tc>
            </w:tr>
            <w:tr w14:paraId="408D0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48" w:type="dxa"/>
                  <w:vMerge w:val="restart"/>
                  <w:shd w:val="clear" w:color="auto" w:fill="auto"/>
                  <w:vAlign w:val="center"/>
                </w:tcPr>
                <w:p w14:paraId="041089AD">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1666" w:type="dxa"/>
                  <w:vMerge w:val="restart"/>
                  <w:vAlign w:val="center"/>
                </w:tcPr>
                <w:p w14:paraId="35A9C1AD">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关于验收</w:t>
                  </w:r>
                </w:p>
              </w:tc>
              <w:tc>
                <w:tcPr>
                  <w:tcW w:w="6445" w:type="dxa"/>
                </w:tcPr>
                <w:p w14:paraId="6047DC38">
                  <w:pPr>
                    <w:widowControl/>
                    <w:spacing w:line="340" w:lineRule="exact"/>
                    <w:jc w:val="left"/>
                    <w:rPr>
                      <w:rFonts w:ascii="宋体" w:hAnsi="宋体" w:eastAsia="宋体" w:cs="宋体"/>
                      <w:kern w:val="0"/>
                      <w:sz w:val="24"/>
                      <w:szCs w:val="24"/>
                    </w:rPr>
                  </w:pPr>
                  <w:r>
                    <w:rPr>
                      <w:rFonts w:hint="eastAsia" w:ascii="宋体" w:hAnsi="宋体" w:eastAsia="宋体" w:cs="宋体"/>
                      <w:kern w:val="0"/>
                      <w:sz w:val="24"/>
                      <w:szCs w:val="24"/>
                    </w:rPr>
                    <w:t>1.1合同签订后，服务期内需按照合同条款进行服务，项目合同结束后按照条款进行验收。</w:t>
                  </w:r>
                </w:p>
              </w:tc>
            </w:tr>
            <w:tr w14:paraId="330D3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48" w:type="dxa"/>
                  <w:vMerge w:val="continue"/>
                  <w:shd w:val="clear" w:color="auto" w:fill="auto"/>
                  <w:vAlign w:val="center"/>
                </w:tcPr>
                <w:p w14:paraId="73B6CE6C">
                  <w:pPr>
                    <w:widowControl/>
                    <w:spacing w:line="340" w:lineRule="exact"/>
                    <w:jc w:val="center"/>
                    <w:rPr>
                      <w:rFonts w:ascii="宋体" w:hAnsi="宋体" w:eastAsia="宋体" w:cs="宋体"/>
                      <w:kern w:val="0"/>
                      <w:sz w:val="24"/>
                      <w:szCs w:val="24"/>
                    </w:rPr>
                  </w:pPr>
                </w:p>
              </w:tc>
              <w:tc>
                <w:tcPr>
                  <w:tcW w:w="1666" w:type="dxa"/>
                  <w:vMerge w:val="continue"/>
                  <w:vAlign w:val="center"/>
                </w:tcPr>
                <w:p w14:paraId="6B2ED535">
                  <w:pPr>
                    <w:widowControl/>
                    <w:spacing w:line="340" w:lineRule="exact"/>
                    <w:jc w:val="center"/>
                    <w:rPr>
                      <w:rFonts w:ascii="宋体" w:hAnsi="宋体" w:eastAsia="宋体" w:cs="宋体"/>
                      <w:kern w:val="0"/>
                      <w:sz w:val="24"/>
                      <w:szCs w:val="24"/>
                    </w:rPr>
                  </w:pPr>
                </w:p>
              </w:tc>
              <w:tc>
                <w:tcPr>
                  <w:tcW w:w="6445" w:type="dxa"/>
                </w:tcPr>
                <w:p w14:paraId="435DB9A1">
                  <w:pPr>
                    <w:widowControl/>
                    <w:spacing w:line="340" w:lineRule="exact"/>
                    <w:jc w:val="left"/>
                    <w:rPr>
                      <w:rFonts w:ascii="宋体" w:hAnsi="宋体" w:eastAsia="宋体" w:cs="宋体"/>
                      <w:kern w:val="0"/>
                      <w:sz w:val="24"/>
                      <w:szCs w:val="24"/>
                    </w:rPr>
                  </w:pPr>
                  <w:r>
                    <w:rPr>
                      <w:rFonts w:hint="eastAsia" w:ascii="宋体" w:hAnsi="宋体" w:eastAsia="宋体" w:cs="宋体"/>
                      <w:kern w:val="0"/>
                      <w:sz w:val="24"/>
                      <w:szCs w:val="24"/>
                    </w:rPr>
                    <w:t>1.2中标方在服务期内承担上门服务费用的义务。</w:t>
                  </w:r>
                </w:p>
              </w:tc>
            </w:tr>
            <w:tr w14:paraId="7BD7F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48" w:type="dxa"/>
                  <w:vAlign w:val="center"/>
                </w:tcPr>
                <w:p w14:paraId="5EC4F0EF">
                  <w:pPr>
                    <w:widowControl/>
                    <w:spacing w:line="340" w:lineRule="exact"/>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w:t>
                  </w:r>
                </w:p>
              </w:tc>
              <w:tc>
                <w:tcPr>
                  <w:tcW w:w="1666" w:type="dxa"/>
                  <w:vAlign w:val="center"/>
                </w:tcPr>
                <w:p w14:paraId="0F7C1726">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关于合同</w:t>
                  </w:r>
                </w:p>
              </w:tc>
              <w:tc>
                <w:tcPr>
                  <w:tcW w:w="6445" w:type="dxa"/>
                </w:tcPr>
                <w:p w14:paraId="63DF9DDB">
                  <w:pPr>
                    <w:widowControl/>
                    <w:spacing w:line="340" w:lineRule="exact"/>
                    <w:jc w:val="left"/>
                    <w:rPr>
                      <w:rFonts w:ascii="宋体" w:hAnsi="宋体" w:eastAsia="宋体" w:cs="宋体"/>
                      <w:kern w:val="0"/>
                      <w:sz w:val="24"/>
                      <w:szCs w:val="24"/>
                    </w:rPr>
                  </w:pPr>
                  <w:r>
                    <w:rPr>
                      <w:rFonts w:hint="eastAsia" w:ascii="宋体" w:hAnsi="宋体" w:eastAsia="宋体" w:cs="宋体"/>
                      <w:kern w:val="0"/>
                      <w:sz w:val="24"/>
                      <w:szCs w:val="24"/>
                    </w:rPr>
                    <w:t>合同按照一年一签。</w:t>
                  </w:r>
                </w:p>
              </w:tc>
            </w:tr>
            <w:tr w14:paraId="29539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48" w:type="dxa"/>
                  <w:shd w:val="clear" w:color="auto" w:fill="auto"/>
                  <w:vAlign w:val="center"/>
                </w:tcPr>
                <w:p w14:paraId="24FCC512">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7</w:t>
                  </w:r>
                </w:p>
              </w:tc>
              <w:tc>
                <w:tcPr>
                  <w:tcW w:w="1666" w:type="dxa"/>
                  <w:shd w:val="clear" w:color="auto" w:fill="auto"/>
                  <w:vAlign w:val="center"/>
                </w:tcPr>
                <w:p w14:paraId="4759F362">
                  <w:pPr>
                    <w:widowControl/>
                    <w:spacing w:line="340" w:lineRule="exact"/>
                    <w:jc w:val="center"/>
                    <w:rPr>
                      <w:rFonts w:ascii="宋体" w:hAnsi="宋体" w:eastAsia="宋体" w:cs="宋体"/>
                      <w:kern w:val="0"/>
                      <w:sz w:val="24"/>
                      <w:szCs w:val="24"/>
                    </w:rPr>
                  </w:pPr>
                  <w:r>
                    <w:rPr>
                      <w:rFonts w:hint="eastAsia" w:ascii="宋体" w:hAnsi="宋体" w:eastAsia="宋体" w:cs="宋体"/>
                      <w:kern w:val="0"/>
                      <w:sz w:val="24"/>
                      <w:szCs w:val="24"/>
                    </w:rPr>
                    <w:t>报价要求</w:t>
                  </w:r>
                </w:p>
              </w:tc>
              <w:tc>
                <w:tcPr>
                  <w:tcW w:w="6445" w:type="dxa"/>
                  <w:shd w:val="clear" w:color="auto" w:fill="auto"/>
                  <w:vAlign w:val="center"/>
                </w:tcPr>
                <w:p w14:paraId="435C2506">
                  <w:pPr>
                    <w:widowControl/>
                    <w:spacing w:line="340" w:lineRule="exact"/>
                    <w:jc w:val="left"/>
                    <w:rPr>
                      <w:rFonts w:ascii="宋体" w:hAnsi="宋体" w:eastAsia="宋体" w:cs="宋体"/>
                      <w:kern w:val="0"/>
                      <w:sz w:val="24"/>
                      <w:szCs w:val="24"/>
                    </w:rPr>
                  </w:pPr>
                  <w:r>
                    <w:rPr>
                      <w:rFonts w:hint="eastAsia" w:ascii="宋体" w:hAnsi="宋体" w:eastAsia="宋体" w:cs="宋体"/>
                      <w:color w:val="000000"/>
                      <w:sz w:val="24"/>
                      <w:szCs w:val="24"/>
                    </w:rPr>
                    <w:t>本项目以总价方式进行报价，报价包括服务费及供应产品和产品运输到使用单位的采保费、运输装卸费、服务费、安装费、人工费、制作费、包调试、税金、及等保测评所支付等一切将可发生的费用。</w:t>
                  </w:r>
                </w:p>
              </w:tc>
            </w:tr>
          </w:tbl>
          <w:p w14:paraId="0B6B3AF8">
            <w:pPr>
              <w:widowControl/>
              <w:spacing w:line="340" w:lineRule="exact"/>
              <w:jc w:val="left"/>
              <w:rPr>
                <w:rFonts w:ascii="宋体" w:hAnsi="宋体" w:eastAsia="宋体" w:cs="宋体"/>
                <w:kern w:val="0"/>
                <w:sz w:val="24"/>
                <w:szCs w:val="24"/>
              </w:rPr>
            </w:pPr>
          </w:p>
        </w:tc>
      </w:tr>
      <w:tr w14:paraId="6CCFA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blCellSpacing w:w="0" w:type="dxa"/>
          <w:jc w:val="center"/>
        </w:trPr>
        <w:tc>
          <w:tcPr>
            <w:tcW w:w="1275" w:type="dxa"/>
            <w:vAlign w:val="center"/>
          </w:tcPr>
          <w:p w14:paraId="169528D7">
            <w:pPr>
              <w:rPr>
                <w:rFonts w:ascii="宋体" w:hAnsi="宋体" w:eastAsia="宋体" w:cs="宋体"/>
                <w:b/>
                <w:color w:val="FF0000"/>
                <w:sz w:val="24"/>
                <w:szCs w:val="24"/>
              </w:rPr>
            </w:pPr>
            <w:r>
              <w:rPr>
                <w:rFonts w:hint="eastAsia" w:ascii="宋体" w:hAnsi="宋体" w:eastAsia="宋体" w:cs="宋体"/>
                <w:b/>
                <w:color w:val="FF0000"/>
                <w:sz w:val="24"/>
                <w:szCs w:val="24"/>
              </w:rPr>
              <w:t>注意事项</w:t>
            </w:r>
          </w:p>
        </w:tc>
        <w:tc>
          <w:tcPr>
            <w:tcW w:w="9265" w:type="dxa"/>
            <w:gridSpan w:val="3"/>
            <w:vAlign w:val="center"/>
          </w:tcPr>
          <w:p w14:paraId="2D2AA26C">
            <w:pPr>
              <w:rPr>
                <w:rFonts w:ascii="宋体" w:hAnsi="宋体" w:eastAsia="宋体" w:cs="宋体"/>
                <w:b/>
                <w:color w:val="FF0000"/>
                <w:sz w:val="24"/>
                <w:szCs w:val="24"/>
              </w:rPr>
            </w:pPr>
            <w:r>
              <w:rPr>
                <w:rFonts w:hint="eastAsia" w:ascii="宋体" w:hAnsi="宋体" w:eastAsia="宋体" w:cs="宋体"/>
                <w:b/>
                <w:color w:val="FF0000"/>
                <w:sz w:val="24"/>
                <w:szCs w:val="24"/>
              </w:rPr>
              <w:t>需求中打★号的为必须满足项，投标单位需在报价文件中做出承诺满足该要求，若投标单位中标后无法执行，采购方有权撤销报价方的中标资质，撤销已签订的合同，并追究投标单位的法律责任。</w:t>
            </w:r>
          </w:p>
        </w:tc>
      </w:tr>
    </w:tbl>
    <w:p w14:paraId="1C48D65B"/>
    <w:sectPr>
      <w:pgSz w:w="11906" w:h="16838"/>
      <w:pgMar w:top="993"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jYmQxNWVmMGE1ZjNkMmQzMGY5MGZjNzg2YTkyNTYifQ=="/>
  </w:docVars>
  <w:rsids>
    <w:rsidRoot w:val="005D5AE9"/>
    <w:rsid w:val="0000090A"/>
    <w:rsid w:val="00002A27"/>
    <w:rsid w:val="00011B82"/>
    <w:rsid w:val="00022396"/>
    <w:rsid w:val="000241C3"/>
    <w:rsid w:val="00024218"/>
    <w:rsid w:val="00024A31"/>
    <w:rsid w:val="000260F6"/>
    <w:rsid w:val="00027F1A"/>
    <w:rsid w:val="00033EC7"/>
    <w:rsid w:val="00040D64"/>
    <w:rsid w:val="00046274"/>
    <w:rsid w:val="000473FF"/>
    <w:rsid w:val="00050487"/>
    <w:rsid w:val="00050BF6"/>
    <w:rsid w:val="000535D6"/>
    <w:rsid w:val="00054904"/>
    <w:rsid w:val="00054C0A"/>
    <w:rsid w:val="00054FED"/>
    <w:rsid w:val="00055166"/>
    <w:rsid w:val="00056ED7"/>
    <w:rsid w:val="00057ABC"/>
    <w:rsid w:val="00060D4F"/>
    <w:rsid w:val="00061B01"/>
    <w:rsid w:val="00063B47"/>
    <w:rsid w:val="00066D60"/>
    <w:rsid w:val="00081625"/>
    <w:rsid w:val="00081DCA"/>
    <w:rsid w:val="00092748"/>
    <w:rsid w:val="000963DF"/>
    <w:rsid w:val="000969AD"/>
    <w:rsid w:val="00096B4C"/>
    <w:rsid w:val="00097F39"/>
    <w:rsid w:val="000A1A47"/>
    <w:rsid w:val="000A334F"/>
    <w:rsid w:val="000B531B"/>
    <w:rsid w:val="000B5C11"/>
    <w:rsid w:val="000C3C06"/>
    <w:rsid w:val="000C4174"/>
    <w:rsid w:val="000C5BD2"/>
    <w:rsid w:val="000D0B15"/>
    <w:rsid w:val="000D170A"/>
    <w:rsid w:val="000D38E9"/>
    <w:rsid w:val="000D5954"/>
    <w:rsid w:val="000E1A9C"/>
    <w:rsid w:val="000E24AF"/>
    <w:rsid w:val="000F1131"/>
    <w:rsid w:val="000F2912"/>
    <w:rsid w:val="000F301A"/>
    <w:rsid w:val="000F6DE9"/>
    <w:rsid w:val="001011AB"/>
    <w:rsid w:val="001076B3"/>
    <w:rsid w:val="00111D09"/>
    <w:rsid w:val="00111F90"/>
    <w:rsid w:val="001251A8"/>
    <w:rsid w:val="0012630E"/>
    <w:rsid w:val="00141515"/>
    <w:rsid w:val="00156886"/>
    <w:rsid w:val="00162B46"/>
    <w:rsid w:val="001641B0"/>
    <w:rsid w:val="00171162"/>
    <w:rsid w:val="0017382F"/>
    <w:rsid w:val="001818F0"/>
    <w:rsid w:val="0018247A"/>
    <w:rsid w:val="00185417"/>
    <w:rsid w:val="0018666A"/>
    <w:rsid w:val="00191CF3"/>
    <w:rsid w:val="00191D5E"/>
    <w:rsid w:val="001967B4"/>
    <w:rsid w:val="001A049C"/>
    <w:rsid w:val="001B1FD0"/>
    <w:rsid w:val="001C3C2B"/>
    <w:rsid w:val="001D10CC"/>
    <w:rsid w:val="001E01F8"/>
    <w:rsid w:val="001E28FF"/>
    <w:rsid w:val="001E4011"/>
    <w:rsid w:val="001E6A63"/>
    <w:rsid w:val="001F4D5B"/>
    <w:rsid w:val="00206B02"/>
    <w:rsid w:val="00215437"/>
    <w:rsid w:val="002160AE"/>
    <w:rsid w:val="002175B6"/>
    <w:rsid w:val="00221AC0"/>
    <w:rsid w:val="00230A6D"/>
    <w:rsid w:val="00230FBA"/>
    <w:rsid w:val="002320C7"/>
    <w:rsid w:val="00237E82"/>
    <w:rsid w:val="002473A7"/>
    <w:rsid w:val="00251BDD"/>
    <w:rsid w:val="00254BAE"/>
    <w:rsid w:val="002639FF"/>
    <w:rsid w:val="0026583B"/>
    <w:rsid w:val="00266845"/>
    <w:rsid w:val="00275D91"/>
    <w:rsid w:val="00277842"/>
    <w:rsid w:val="00277F64"/>
    <w:rsid w:val="002827A2"/>
    <w:rsid w:val="00284D25"/>
    <w:rsid w:val="002876E2"/>
    <w:rsid w:val="002902D8"/>
    <w:rsid w:val="0029043A"/>
    <w:rsid w:val="00290E3F"/>
    <w:rsid w:val="002918F2"/>
    <w:rsid w:val="00291FD5"/>
    <w:rsid w:val="00294C89"/>
    <w:rsid w:val="00296C3F"/>
    <w:rsid w:val="002A0E6D"/>
    <w:rsid w:val="002A213F"/>
    <w:rsid w:val="002A5544"/>
    <w:rsid w:val="002A63BB"/>
    <w:rsid w:val="002B365F"/>
    <w:rsid w:val="002B5648"/>
    <w:rsid w:val="002B5ECA"/>
    <w:rsid w:val="002B6E40"/>
    <w:rsid w:val="002C20AE"/>
    <w:rsid w:val="002C335B"/>
    <w:rsid w:val="002D1C4F"/>
    <w:rsid w:val="002D200D"/>
    <w:rsid w:val="002E7FD2"/>
    <w:rsid w:val="002F076D"/>
    <w:rsid w:val="002F0FE9"/>
    <w:rsid w:val="002F14AC"/>
    <w:rsid w:val="002F299C"/>
    <w:rsid w:val="002F3CF2"/>
    <w:rsid w:val="002F4520"/>
    <w:rsid w:val="002F6D1D"/>
    <w:rsid w:val="003019B0"/>
    <w:rsid w:val="00303128"/>
    <w:rsid w:val="0030385D"/>
    <w:rsid w:val="003056E4"/>
    <w:rsid w:val="003060A3"/>
    <w:rsid w:val="0031138F"/>
    <w:rsid w:val="0031483D"/>
    <w:rsid w:val="0032096F"/>
    <w:rsid w:val="00320A7E"/>
    <w:rsid w:val="003223D3"/>
    <w:rsid w:val="0033377A"/>
    <w:rsid w:val="00336590"/>
    <w:rsid w:val="00341EF3"/>
    <w:rsid w:val="003441F6"/>
    <w:rsid w:val="0035076A"/>
    <w:rsid w:val="00350CAF"/>
    <w:rsid w:val="00353AF7"/>
    <w:rsid w:val="003615A2"/>
    <w:rsid w:val="00361CC6"/>
    <w:rsid w:val="0036201A"/>
    <w:rsid w:val="00363931"/>
    <w:rsid w:val="00366241"/>
    <w:rsid w:val="00370DF4"/>
    <w:rsid w:val="0037313E"/>
    <w:rsid w:val="0037494A"/>
    <w:rsid w:val="0037521A"/>
    <w:rsid w:val="003766BB"/>
    <w:rsid w:val="00390626"/>
    <w:rsid w:val="00394830"/>
    <w:rsid w:val="003951F5"/>
    <w:rsid w:val="00395524"/>
    <w:rsid w:val="003A38A0"/>
    <w:rsid w:val="003A5378"/>
    <w:rsid w:val="003A602F"/>
    <w:rsid w:val="003A62FA"/>
    <w:rsid w:val="003B338F"/>
    <w:rsid w:val="003B6607"/>
    <w:rsid w:val="003C17CE"/>
    <w:rsid w:val="003C5A41"/>
    <w:rsid w:val="003D15EF"/>
    <w:rsid w:val="003D1EF0"/>
    <w:rsid w:val="003D2D47"/>
    <w:rsid w:val="003D3DA4"/>
    <w:rsid w:val="003D4336"/>
    <w:rsid w:val="003D4974"/>
    <w:rsid w:val="003E462A"/>
    <w:rsid w:val="003F371C"/>
    <w:rsid w:val="00401212"/>
    <w:rsid w:val="00407D1B"/>
    <w:rsid w:val="00413167"/>
    <w:rsid w:val="00416F16"/>
    <w:rsid w:val="00417349"/>
    <w:rsid w:val="00422E85"/>
    <w:rsid w:val="0043050C"/>
    <w:rsid w:val="00431DC1"/>
    <w:rsid w:val="00435F5A"/>
    <w:rsid w:val="00441374"/>
    <w:rsid w:val="00444170"/>
    <w:rsid w:val="00445E3F"/>
    <w:rsid w:val="00447465"/>
    <w:rsid w:val="0044750D"/>
    <w:rsid w:val="0045505A"/>
    <w:rsid w:val="00460633"/>
    <w:rsid w:val="00460960"/>
    <w:rsid w:val="00461517"/>
    <w:rsid w:val="004628E1"/>
    <w:rsid w:val="00462C27"/>
    <w:rsid w:val="00471A3B"/>
    <w:rsid w:val="00472342"/>
    <w:rsid w:val="00476019"/>
    <w:rsid w:val="0047631A"/>
    <w:rsid w:val="00486FCA"/>
    <w:rsid w:val="004935AF"/>
    <w:rsid w:val="004958A6"/>
    <w:rsid w:val="004A1104"/>
    <w:rsid w:val="004C0736"/>
    <w:rsid w:val="004C2143"/>
    <w:rsid w:val="004C218C"/>
    <w:rsid w:val="004C2EEF"/>
    <w:rsid w:val="004C3F84"/>
    <w:rsid w:val="004C5CAF"/>
    <w:rsid w:val="004C7348"/>
    <w:rsid w:val="004D3AE3"/>
    <w:rsid w:val="004E1273"/>
    <w:rsid w:val="004E5766"/>
    <w:rsid w:val="004E6EAF"/>
    <w:rsid w:val="004E7C1A"/>
    <w:rsid w:val="004F7DD5"/>
    <w:rsid w:val="005035FD"/>
    <w:rsid w:val="0051104B"/>
    <w:rsid w:val="0051344E"/>
    <w:rsid w:val="005151B1"/>
    <w:rsid w:val="005165C0"/>
    <w:rsid w:val="00521192"/>
    <w:rsid w:val="00535022"/>
    <w:rsid w:val="0053613F"/>
    <w:rsid w:val="005364E8"/>
    <w:rsid w:val="00542F69"/>
    <w:rsid w:val="00545A25"/>
    <w:rsid w:val="00546BC1"/>
    <w:rsid w:val="00552796"/>
    <w:rsid w:val="00553E26"/>
    <w:rsid w:val="005547F3"/>
    <w:rsid w:val="0055545A"/>
    <w:rsid w:val="0056006D"/>
    <w:rsid w:val="00560AEC"/>
    <w:rsid w:val="00561185"/>
    <w:rsid w:val="0056286D"/>
    <w:rsid w:val="00574DEA"/>
    <w:rsid w:val="0057501A"/>
    <w:rsid w:val="00576BAB"/>
    <w:rsid w:val="00583BD6"/>
    <w:rsid w:val="005911AF"/>
    <w:rsid w:val="0059152C"/>
    <w:rsid w:val="005927F0"/>
    <w:rsid w:val="0059288C"/>
    <w:rsid w:val="00597769"/>
    <w:rsid w:val="00597FB6"/>
    <w:rsid w:val="005A4CB8"/>
    <w:rsid w:val="005A5604"/>
    <w:rsid w:val="005A6E97"/>
    <w:rsid w:val="005A7A76"/>
    <w:rsid w:val="005B087E"/>
    <w:rsid w:val="005B5ABC"/>
    <w:rsid w:val="005B63CE"/>
    <w:rsid w:val="005C580F"/>
    <w:rsid w:val="005C6994"/>
    <w:rsid w:val="005C75B6"/>
    <w:rsid w:val="005D0DF3"/>
    <w:rsid w:val="005D55FC"/>
    <w:rsid w:val="005D5AE9"/>
    <w:rsid w:val="005E0213"/>
    <w:rsid w:val="005E06EF"/>
    <w:rsid w:val="005E1B85"/>
    <w:rsid w:val="005E4B8D"/>
    <w:rsid w:val="005E5CC0"/>
    <w:rsid w:val="005F1640"/>
    <w:rsid w:val="005F1D5A"/>
    <w:rsid w:val="005F2085"/>
    <w:rsid w:val="005F4E94"/>
    <w:rsid w:val="006119A7"/>
    <w:rsid w:val="00614DFD"/>
    <w:rsid w:val="00616B14"/>
    <w:rsid w:val="006204AC"/>
    <w:rsid w:val="006242FD"/>
    <w:rsid w:val="006327BB"/>
    <w:rsid w:val="00632A40"/>
    <w:rsid w:val="00632E3F"/>
    <w:rsid w:val="00633C9D"/>
    <w:rsid w:val="00641BD4"/>
    <w:rsid w:val="0064362E"/>
    <w:rsid w:val="00644592"/>
    <w:rsid w:val="00646C21"/>
    <w:rsid w:val="00646CC9"/>
    <w:rsid w:val="00647449"/>
    <w:rsid w:val="006616C6"/>
    <w:rsid w:val="00663C02"/>
    <w:rsid w:val="00665B79"/>
    <w:rsid w:val="00670AF6"/>
    <w:rsid w:val="00671450"/>
    <w:rsid w:val="00677199"/>
    <w:rsid w:val="00680B2D"/>
    <w:rsid w:val="00684663"/>
    <w:rsid w:val="00685465"/>
    <w:rsid w:val="006978B9"/>
    <w:rsid w:val="006A03C8"/>
    <w:rsid w:val="006A0543"/>
    <w:rsid w:val="006A4B52"/>
    <w:rsid w:val="006B2300"/>
    <w:rsid w:val="006C0C6A"/>
    <w:rsid w:val="006C14A7"/>
    <w:rsid w:val="006C292F"/>
    <w:rsid w:val="006C77CB"/>
    <w:rsid w:val="006C7FEA"/>
    <w:rsid w:val="006D7F48"/>
    <w:rsid w:val="006E0F29"/>
    <w:rsid w:val="006E3BDF"/>
    <w:rsid w:val="006E5A0B"/>
    <w:rsid w:val="006E6ABD"/>
    <w:rsid w:val="006E6CDC"/>
    <w:rsid w:val="006F46E9"/>
    <w:rsid w:val="006F4B3C"/>
    <w:rsid w:val="006F4CAA"/>
    <w:rsid w:val="00704376"/>
    <w:rsid w:val="007050D0"/>
    <w:rsid w:val="0070519F"/>
    <w:rsid w:val="00714036"/>
    <w:rsid w:val="00716308"/>
    <w:rsid w:val="00722799"/>
    <w:rsid w:val="007278DD"/>
    <w:rsid w:val="007326BE"/>
    <w:rsid w:val="00732EDF"/>
    <w:rsid w:val="0073410B"/>
    <w:rsid w:val="007354E0"/>
    <w:rsid w:val="007360DA"/>
    <w:rsid w:val="00737114"/>
    <w:rsid w:val="00740B8E"/>
    <w:rsid w:val="00743B8A"/>
    <w:rsid w:val="00745BFD"/>
    <w:rsid w:val="007535A8"/>
    <w:rsid w:val="0075797B"/>
    <w:rsid w:val="00760E5F"/>
    <w:rsid w:val="00761371"/>
    <w:rsid w:val="0076541D"/>
    <w:rsid w:val="007735F4"/>
    <w:rsid w:val="007772FF"/>
    <w:rsid w:val="00780C96"/>
    <w:rsid w:val="007854FC"/>
    <w:rsid w:val="00790729"/>
    <w:rsid w:val="0079446A"/>
    <w:rsid w:val="00795AF1"/>
    <w:rsid w:val="007975AF"/>
    <w:rsid w:val="00797F6C"/>
    <w:rsid w:val="007A1717"/>
    <w:rsid w:val="007A17A1"/>
    <w:rsid w:val="007A1CE5"/>
    <w:rsid w:val="007B18D9"/>
    <w:rsid w:val="007B3EBF"/>
    <w:rsid w:val="007B655D"/>
    <w:rsid w:val="007C748B"/>
    <w:rsid w:val="007D246E"/>
    <w:rsid w:val="007D2483"/>
    <w:rsid w:val="007E4020"/>
    <w:rsid w:val="007E505C"/>
    <w:rsid w:val="007E73DC"/>
    <w:rsid w:val="007F3201"/>
    <w:rsid w:val="007F36F5"/>
    <w:rsid w:val="007F58FF"/>
    <w:rsid w:val="007F6DEF"/>
    <w:rsid w:val="00805886"/>
    <w:rsid w:val="0080793B"/>
    <w:rsid w:val="00820C7D"/>
    <w:rsid w:val="00824F62"/>
    <w:rsid w:val="00830D24"/>
    <w:rsid w:val="00830F85"/>
    <w:rsid w:val="00832777"/>
    <w:rsid w:val="0083695D"/>
    <w:rsid w:val="00836D9F"/>
    <w:rsid w:val="0084110D"/>
    <w:rsid w:val="008459DE"/>
    <w:rsid w:val="00850AFE"/>
    <w:rsid w:val="008560FF"/>
    <w:rsid w:val="00857CE5"/>
    <w:rsid w:val="008606E1"/>
    <w:rsid w:val="00873AA2"/>
    <w:rsid w:val="00873F08"/>
    <w:rsid w:val="008759C8"/>
    <w:rsid w:val="00876571"/>
    <w:rsid w:val="00892860"/>
    <w:rsid w:val="008A3BC8"/>
    <w:rsid w:val="008A61A8"/>
    <w:rsid w:val="008A6547"/>
    <w:rsid w:val="008A7051"/>
    <w:rsid w:val="008B20DA"/>
    <w:rsid w:val="008B630D"/>
    <w:rsid w:val="008C0124"/>
    <w:rsid w:val="008C58FC"/>
    <w:rsid w:val="008C6EAD"/>
    <w:rsid w:val="008D5120"/>
    <w:rsid w:val="008D550D"/>
    <w:rsid w:val="008D734E"/>
    <w:rsid w:val="008E1C32"/>
    <w:rsid w:val="008E26B7"/>
    <w:rsid w:val="008E2EEC"/>
    <w:rsid w:val="008E4C4C"/>
    <w:rsid w:val="008E521B"/>
    <w:rsid w:val="008E5517"/>
    <w:rsid w:val="008E741A"/>
    <w:rsid w:val="008E7911"/>
    <w:rsid w:val="008E7C0E"/>
    <w:rsid w:val="008F4818"/>
    <w:rsid w:val="008F777E"/>
    <w:rsid w:val="008F7FF8"/>
    <w:rsid w:val="00900FA2"/>
    <w:rsid w:val="00902D1D"/>
    <w:rsid w:val="009035E5"/>
    <w:rsid w:val="00912805"/>
    <w:rsid w:val="00916031"/>
    <w:rsid w:val="009208E6"/>
    <w:rsid w:val="00923FD8"/>
    <w:rsid w:val="00930F0E"/>
    <w:rsid w:val="00933D10"/>
    <w:rsid w:val="00935847"/>
    <w:rsid w:val="0093596B"/>
    <w:rsid w:val="00941A80"/>
    <w:rsid w:val="009430F6"/>
    <w:rsid w:val="00944740"/>
    <w:rsid w:val="009455E6"/>
    <w:rsid w:val="00954967"/>
    <w:rsid w:val="009605C9"/>
    <w:rsid w:val="00961439"/>
    <w:rsid w:val="009626E5"/>
    <w:rsid w:val="00962E33"/>
    <w:rsid w:val="0096386E"/>
    <w:rsid w:val="00964CAE"/>
    <w:rsid w:val="00966872"/>
    <w:rsid w:val="009675F0"/>
    <w:rsid w:val="00972522"/>
    <w:rsid w:val="00974EC5"/>
    <w:rsid w:val="00976CB7"/>
    <w:rsid w:val="00987678"/>
    <w:rsid w:val="00995EAD"/>
    <w:rsid w:val="009A5EC6"/>
    <w:rsid w:val="009C2250"/>
    <w:rsid w:val="009C7B9C"/>
    <w:rsid w:val="009D0712"/>
    <w:rsid w:val="009D0A2D"/>
    <w:rsid w:val="009D0C5F"/>
    <w:rsid w:val="009D0C96"/>
    <w:rsid w:val="009D1ECD"/>
    <w:rsid w:val="009D5B75"/>
    <w:rsid w:val="009D5F06"/>
    <w:rsid w:val="009D7684"/>
    <w:rsid w:val="009E09E3"/>
    <w:rsid w:val="009E36E5"/>
    <w:rsid w:val="009E4AC8"/>
    <w:rsid w:val="009E4CA7"/>
    <w:rsid w:val="009E69E3"/>
    <w:rsid w:val="009F2F53"/>
    <w:rsid w:val="009F3619"/>
    <w:rsid w:val="009F38A3"/>
    <w:rsid w:val="009F5C82"/>
    <w:rsid w:val="009F7B32"/>
    <w:rsid w:val="00A1655C"/>
    <w:rsid w:val="00A16BA0"/>
    <w:rsid w:val="00A17060"/>
    <w:rsid w:val="00A17277"/>
    <w:rsid w:val="00A208E2"/>
    <w:rsid w:val="00A24989"/>
    <w:rsid w:val="00A34CB3"/>
    <w:rsid w:val="00A4593A"/>
    <w:rsid w:val="00A46118"/>
    <w:rsid w:val="00A46335"/>
    <w:rsid w:val="00A50E60"/>
    <w:rsid w:val="00A5222B"/>
    <w:rsid w:val="00A554FE"/>
    <w:rsid w:val="00A616DE"/>
    <w:rsid w:val="00A62067"/>
    <w:rsid w:val="00A6252D"/>
    <w:rsid w:val="00A63E04"/>
    <w:rsid w:val="00A66B9D"/>
    <w:rsid w:val="00A67F19"/>
    <w:rsid w:val="00A70D93"/>
    <w:rsid w:val="00A71329"/>
    <w:rsid w:val="00A77C20"/>
    <w:rsid w:val="00A81187"/>
    <w:rsid w:val="00A90705"/>
    <w:rsid w:val="00A94995"/>
    <w:rsid w:val="00A96E22"/>
    <w:rsid w:val="00AA614D"/>
    <w:rsid w:val="00AA698B"/>
    <w:rsid w:val="00AB4DF1"/>
    <w:rsid w:val="00AB57F4"/>
    <w:rsid w:val="00AC1882"/>
    <w:rsid w:val="00AC2827"/>
    <w:rsid w:val="00AD0546"/>
    <w:rsid w:val="00AD1265"/>
    <w:rsid w:val="00AD71AB"/>
    <w:rsid w:val="00AE0C6A"/>
    <w:rsid w:val="00AE325A"/>
    <w:rsid w:val="00AE7B08"/>
    <w:rsid w:val="00AF4750"/>
    <w:rsid w:val="00AF5C6E"/>
    <w:rsid w:val="00B050F8"/>
    <w:rsid w:val="00B06840"/>
    <w:rsid w:val="00B1273B"/>
    <w:rsid w:val="00B163BE"/>
    <w:rsid w:val="00B21EEA"/>
    <w:rsid w:val="00B223EF"/>
    <w:rsid w:val="00B2383E"/>
    <w:rsid w:val="00B2548C"/>
    <w:rsid w:val="00B35630"/>
    <w:rsid w:val="00B42095"/>
    <w:rsid w:val="00B4247F"/>
    <w:rsid w:val="00B565A0"/>
    <w:rsid w:val="00B56770"/>
    <w:rsid w:val="00B56DB5"/>
    <w:rsid w:val="00B63750"/>
    <w:rsid w:val="00B71816"/>
    <w:rsid w:val="00B718B3"/>
    <w:rsid w:val="00B76AA2"/>
    <w:rsid w:val="00B8096B"/>
    <w:rsid w:val="00B82A1A"/>
    <w:rsid w:val="00B91DCF"/>
    <w:rsid w:val="00BA2EA6"/>
    <w:rsid w:val="00BA33DA"/>
    <w:rsid w:val="00BA39B7"/>
    <w:rsid w:val="00BC1EB5"/>
    <w:rsid w:val="00BD0FDF"/>
    <w:rsid w:val="00BD1D19"/>
    <w:rsid w:val="00BD1F5B"/>
    <w:rsid w:val="00BD21C6"/>
    <w:rsid w:val="00BD4CD7"/>
    <w:rsid w:val="00BE1C20"/>
    <w:rsid w:val="00BE2CBA"/>
    <w:rsid w:val="00BE5E02"/>
    <w:rsid w:val="00BE79F2"/>
    <w:rsid w:val="00BF0DBE"/>
    <w:rsid w:val="00BF706B"/>
    <w:rsid w:val="00BF7C3D"/>
    <w:rsid w:val="00C03F66"/>
    <w:rsid w:val="00C05896"/>
    <w:rsid w:val="00C12AB8"/>
    <w:rsid w:val="00C15302"/>
    <w:rsid w:val="00C23A5A"/>
    <w:rsid w:val="00C25DBB"/>
    <w:rsid w:val="00C265B9"/>
    <w:rsid w:val="00C3270E"/>
    <w:rsid w:val="00C327EE"/>
    <w:rsid w:val="00C353DB"/>
    <w:rsid w:val="00C37F7A"/>
    <w:rsid w:val="00C445B3"/>
    <w:rsid w:val="00C469F6"/>
    <w:rsid w:val="00C50F10"/>
    <w:rsid w:val="00C54B8A"/>
    <w:rsid w:val="00C54BBD"/>
    <w:rsid w:val="00C55386"/>
    <w:rsid w:val="00C70B34"/>
    <w:rsid w:val="00C710EE"/>
    <w:rsid w:val="00C80A1A"/>
    <w:rsid w:val="00C81719"/>
    <w:rsid w:val="00C86141"/>
    <w:rsid w:val="00C927B0"/>
    <w:rsid w:val="00C92C46"/>
    <w:rsid w:val="00C93A32"/>
    <w:rsid w:val="00C97C25"/>
    <w:rsid w:val="00CA0478"/>
    <w:rsid w:val="00CA2806"/>
    <w:rsid w:val="00CA3B65"/>
    <w:rsid w:val="00CB0349"/>
    <w:rsid w:val="00CB3275"/>
    <w:rsid w:val="00CC04BD"/>
    <w:rsid w:val="00CC205B"/>
    <w:rsid w:val="00CC362F"/>
    <w:rsid w:val="00CC74D5"/>
    <w:rsid w:val="00CC7F56"/>
    <w:rsid w:val="00CD0D02"/>
    <w:rsid w:val="00CD21AF"/>
    <w:rsid w:val="00CE0B92"/>
    <w:rsid w:val="00CE1E95"/>
    <w:rsid w:val="00CE274A"/>
    <w:rsid w:val="00CE3AD8"/>
    <w:rsid w:val="00CF174D"/>
    <w:rsid w:val="00D0414D"/>
    <w:rsid w:val="00D052E6"/>
    <w:rsid w:val="00D06779"/>
    <w:rsid w:val="00D10DB4"/>
    <w:rsid w:val="00D11F48"/>
    <w:rsid w:val="00D207BF"/>
    <w:rsid w:val="00D2260B"/>
    <w:rsid w:val="00D25285"/>
    <w:rsid w:val="00D273A9"/>
    <w:rsid w:val="00D34AD3"/>
    <w:rsid w:val="00D402BD"/>
    <w:rsid w:val="00D43B07"/>
    <w:rsid w:val="00D4507C"/>
    <w:rsid w:val="00D472F6"/>
    <w:rsid w:val="00D500A7"/>
    <w:rsid w:val="00D50AF9"/>
    <w:rsid w:val="00D51D90"/>
    <w:rsid w:val="00D5343A"/>
    <w:rsid w:val="00D64305"/>
    <w:rsid w:val="00D67FCC"/>
    <w:rsid w:val="00D70555"/>
    <w:rsid w:val="00D70A3E"/>
    <w:rsid w:val="00D71B40"/>
    <w:rsid w:val="00D724DD"/>
    <w:rsid w:val="00D727A5"/>
    <w:rsid w:val="00D7672B"/>
    <w:rsid w:val="00D94A93"/>
    <w:rsid w:val="00DA58C2"/>
    <w:rsid w:val="00DA5D58"/>
    <w:rsid w:val="00DA6F9A"/>
    <w:rsid w:val="00DB1B02"/>
    <w:rsid w:val="00DB6026"/>
    <w:rsid w:val="00DB7B02"/>
    <w:rsid w:val="00DC046C"/>
    <w:rsid w:val="00DC46F3"/>
    <w:rsid w:val="00DC7026"/>
    <w:rsid w:val="00DC7D57"/>
    <w:rsid w:val="00DC7F37"/>
    <w:rsid w:val="00DD7FA2"/>
    <w:rsid w:val="00DE113C"/>
    <w:rsid w:val="00DE43D0"/>
    <w:rsid w:val="00DE4EB2"/>
    <w:rsid w:val="00DE5BD2"/>
    <w:rsid w:val="00DF01CB"/>
    <w:rsid w:val="00DF51B9"/>
    <w:rsid w:val="00DF7090"/>
    <w:rsid w:val="00DF7812"/>
    <w:rsid w:val="00E208AE"/>
    <w:rsid w:val="00E22B5A"/>
    <w:rsid w:val="00E23C4D"/>
    <w:rsid w:val="00E307DD"/>
    <w:rsid w:val="00E31C89"/>
    <w:rsid w:val="00E341E0"/>
    <w:rsid w:val="00E42FBE"/>
    <w:rsid w:val="00E44985"/>
    <w:rsid w:val="00E47595"/>
    <w:rsid w:val="00E56DF7"/>
    <w:rsid w:val="00E57DBB"/>
    <w:rsid w:val="00E65E76"/>
    <w:rsid w:val="00E67A61"/>
    <w:rsid w:val="00E7331A"/>
    <w:rsid w:val="00E764D2"/>
    <w:rsid w:val="00E827B7"/>
    <w:rsid w:val="00E86978"/>
    <w:rsid w:val="00E93139"/>
    <w:rsid w:val="00E97734"/>
    <w:rsid w:val="00EA0177"/>
    <w:rsid w:val="00EA41DF"/>
    <w:rsid w:val="00EC2701"/>
    <w:rsid w:val="00EC701C"/>
    <w:rsid w:val="00ED493E"/>
    <w:rsid w:val="00EE144C"/>
    <w:rsid w:val="00EE2813"/>
    <w:rsid w:val="00EE2E87"/>
    <w:rsid w:val="00EE53E6"/>
    <w:rsid w:val="00EF09D6"/>
    <w:rsid w:val="00EF1A72"/>
    <w:rsid w:val="00EF20EA"/>
    <w:rsid w:val="00EF3272"/>
    <w:rsid w:val="00EF5CA3"/>
    <w:rsid w:val="00EF7C84"/>
    <w:rsid w:val="00F01152"/>
    <w:rsid w:val="00F017E1"/>
    <w:rsid w:val="00F1215F"/>
    <w:rsid w:val="00F14A5B"/>
    <w:rsid w:val="00F153C9"/>
    <w:rsid w:val="00F17C4E"/>
    <w:rsid w:val="00F210AF"/>
    <w:rsid w:val="00F21E75"/>
    <w:rsid w:val="00F22B26"/>
    <w:rsid w:val="00F23D2E"/>
    <w:rsid w:val="00F23F3F"/>
    <w:rsid w:val="00F32E87"/>
    <w:rsid w:val="00F42963"/>
    <w:rsid w:val="00F47B70"/>
    <w:rsid w:val="00F5161D"/>
    <w:rsid w:val="00F60590"/>
    <w:rsid w:val="00F60C6C"/>
    <w:rsid w:val="00F63300"/>
    <w:rsid w:val="00F77649"/>
    <w:rsid w:val="00F8778B"/>
    <w:rsid w:val="00F93DEB"/>
    <w:rsid w:val="00FA1389"/>
    <w:rsid w:val="00FA1E6E"/>
    <w:rsid w:val="00FA5211"/>
    <w:rsid w:val="00FB1278"/>
    <w:rsid w:val="00FB37E1"/>
    <w:rsid w:val="00FB7EE6"/>
    <w:rsid w:val="00FC0529"/>
    <w:rsid w:val="00FC2253"/>
    <w:rsid w:val="00FC453A"/>
    <w:rsid w:val="00FC5857"/>
    <w:rsid w:val="00FC63FB"/>
    <w:rsid w:val="00FC66E6"/>
    <w:rsid w:val="00FD3556"/>
    <w:rsid w:val="00FD3A54"/>
    <w:rsid w:val="00FE02AA"/>
    <w:rsid w:val="00FE2D77"/>
    <w:rsid w:val="00FE680C"/>
    <w:rsid w:val="00FF054B"/>
    <w:rsid w:val="00FF3EFF"/>
    <w:rsid w:val="00FF3F47"/>
    <w:rsid w:val="00FF46CD"/>
    <w:rsid w:val="00FF53FC"/>
    <w:rsid w:val="00FF55B5"/>
    <w:rsid w:val="00FF6C23"/>
    <w:rsid w:val="02B96468"/>
    <w:rsid w:val="02C24BF1"/>
    <w:rsid w:val="03402B33"/>
    <w:rsid w:val="035937A7"/>
    <w:rsid w:val="03655CA8"/>
    <w:rsid w:val="06DD649D"/>
    <w:rsid w:val="072F4F4B"/>
    <w:rsid w:val="07DE2D8B"/>
    <w:rsid w:val="08033848"/>
    <w:rsid w:val="08745B19"/>
    <w:rsid w:val="0A821835"/>
    <w:rsid w:val="0A97276F"/>
    <w:rsid w:val="0BCE7613"/>
    <w:rsid w:val="0BF17A23"/>
    <w:rsid w:val="0C6A2581"/>
    <w:rsid w:val="0F056591"/>
    <w:rsid w:val="10353802"/>
    <w:rsid w:val="121E0D58"/>
    <w:rsid w:val="12CD345A"/>
    <w:rsid w:val="1349016D"/>
    <w:rsid w:val="135F6F8E"/>
    <w:rsid w:val="14F34EAC"/>
    <w:rsid w:val="160D2D3C"/>
    <w:rsid w:val="189B3D4A"/>
    <w:rsid w:val="18A63D25"/>
    <w:rsid w:val="1C8C6544"/>
    <w:rsid w:val="1CE7377A"/>
    <w:rsid w:val="1D216C8C"/>
    <w:rsid w:val="1D4B4E83"/>
    <w:rsid w:val="1D8828A2"/>
    <w:rsid w:val="1D9D585A"/>
    <w:rsid w:val="1E3323C2"/>
    <w:rsid w:val="1E647772"/>
    <w:rsid w:val="20FB6C32"/>
    <w:rsid w:val="21647C41"/>
    <w:rsid w:val="21AD1B7C"/>
    <w:rsid w:val="24771B36"/>
    <w:rsid w:val="25433787"/>
    <w:rsid w:val="280F640A"/>
    <w:rsid w:val="28924EE2"/>
    <w:rsid w:val="29121B7F"/>
    <w:rsid w:val="2B964CE9"/>
    <w:rsid w:val="2DE956D9"/>
    <w:rsid w:val="2EA8720D"/>
    <w:rsid w:val="2ECF6B10"/>
    <w:rsid w:val="2EE76884"/>
    <w:rsid w:val="30066945"/>
    <w:rsid w:val="304C24A0"/>
    <w:rsid w:val="305807C8"/>
    <w:rsid w:val="30C45E54"/>
    <w:rsid w:val="30EC464F"/>
    <w:rsid w:val="31CD2942"/>
    <w:rsid w:val="33E462EB"/>
    <w:rsid w:val="344C063B"/>
    <w:rsid w:val="34B16E31"/>
    <w:rsid w:val="35246EC1"/>
    <w:rsid w:val="35DD09E6"/>
    <w:rsid w:val="37B22EAA"/>
    <w:rsid w:val="382D42DF"/>
    <w:rsid w:val="38B467AE"/>
    <w:rsid w:val="39ED6B3B"/>
    <w:rsid w:val="3A053765"/>
    <w:rsid w:val="3B3913E9"/>
    <w:rsid w:val="3C0267B9"/>
    <w:rsid w:val="3D605784"/>
    <w:rsid w:val="3EFC4A0B"/>
    <w:rsid w:val="40D52048"/>
    <w:rsid w:val="40F36398"/>
    <w:rsid w:val="410B2C87"/>
    <w:rsid w:val="423170C2"/>
    <w:rsid w:val="42835A24"/>
    <w:rsid w:val="42913E89"/>
    <w:rsid w:val="44D35F39"/>
    <w:rsid w:val="450821FF"/>
    <w:rsid w:val="46967533"/>
    <w:rsid w:val="47DC27BF"/>
    <w:rsid w:val="47F4705A"/>
    <w:rsid w:val="48C4659A"/>
    <w:rsid w:val="49E67643"/>
    <w:rsid w:val="4AAC0C18"/>
    <w:rsid w:val="4C06511B"/>
    <w:rsid w:val="4C19295D"/>
    <w:rsid w:val="4C697BB1"/>
    <w:rsid w:val="4D6A59FA"/>
    <w:rsid w:val="4DD52FF7"/>
    <w:rsid w:val="4EE41BC3"/>
    <w:rsid w:val="4EEE63C5"/>
    <w:rsid w:val="4FC652ED"/>
    <w:rsid w:val="50306FB5"/>
    <w:rsid w:val="511300BE"/>
    <w:rsid w:val="515F7B5F"/>
    <w:rsid w:val="51712E46"/>
    <w:rsid w:val="53F215D4"/>
    <w:rsid w:val="5479624C"/>
    <w:rsid w:val="558958D6"/>
    <w:rsid w:val="55B160F8"/>
    <w:rsid w:val="55D153EF"/>
    <w:rsid w:val="573D7CA0"/>
    <w:rsid w:val="58206FA3"/>
    <w:rsid w:val="58AE50B5"/>
    <w:rsid w:val="593C217C"/>
    <w:rsid w:val="5A96449D"/>
    <w:rsid w:val="5B353327"/>
    <w:rsid w:val="5BB16E51"/>
    <w:rsid w:val="5C915E6B"/>
    <w:rsid w:val="5CB35A78"/>
    <w:rsid w:val="5D467A6D"/>
    <w:rsid w:val="5F5244A8"/>
    <w:rsid w:val="640C0196"/>
    <w:rsid w:val="65775884"/>
    <w:rsid w:val="6599467C"/>
    <w:rsid w:val="65C6799D"/>
    <w:rsid w:val="65DF6369"/>
    <w:rsid w:val="672169BB"/>
    <w:rsid w:val="67D234A0"/>
    <w:rsid w:val="6844104D"/>
    <w:rsid w:val="69E4021F"/>
    <w:rsid w:val="6B015F8C"/>
    <w:rsid w:val="6B7B6EF8"/>
    <w:rsid w:val="6CE93F71"/>
    <w:rsid w:val="721F3DBC"/>
    <w:rsid w:val="7315520F"/>
    <w:rsid w:val="743E7153"/>
    <w:rsid w:val="75516763"/>
    <w:rsid w:val="76022B63"/>
    <w:rsid w:val="78FA3BF5"/>
    <w:rsid w:val="79A050F6"/>
    <w:rsid w:val="7A2C0161"/>
    <w:rsid w:val="7C0C5586"/>
    <w:rsid w:val="7C6D24C9"/>
    <w:rsid w:val="7C7D5FD1"/>
    <w:rsid w:val="7CDE6F23"/>
    <w:rsid w:val="7D187887"/>
    <w:rsid w:val="7FC55D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nhideWhenUsed="0"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28"/>
    <w:autoRedefine/>
    <w:qFormat/>
    <w:uiPriority w:val="9"/>
    <w:pPr>
      <w:keepNext/>
      <w:keepLines/>
      <w:spacing w:before="340" w:after="330" w:line="578" w:lineRule="auto"/>
      <w:outlineLvl w:val="0"/>
    </w:pPr>
    <w:rPr>
      <w:b/>
      <w:bCs/>
      <w:kern w:val="44"/>
      <w:sz w:val="44"/>
      <w:szCs w:val="44"/>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200" w:firstLineChars="200"/>
    </w:pPr>
    <w:rPr>
      <w:rFonts w:ascii="宋体" w:hAnsi="宋体"/>
    </w:rPr>
  </w:style>
  <w:style w:type="paragraph" w:styleId="3">
    <w:name w:val="Body Text Indent"/>
    <w:basedOn w:val="1"/>
    <w:qFormat/>
    <w:uiPriority w:val="99"/>
    <w:pPr>
      <w:ind w:firstLine="830" w:firstLineChars="352"/>
    </w:pPr>
    <w:rPr>
      <w:rFonts w:ascii="仿宋_GB2312" w:hAnsi="Calibri" w:eastAsia="仿宋_GB2312"/>
      <w:kern w:val="0"/>
      <w:sz w:val="32"/>
    </w:rPr>
  </w:style>
  <w:style w:type="paragraph" w:styleId="5">
    <w:name w:val="Normal Indent"/>
    <w:basedOn w:val="1"/>
    <w:next w:val="1"/>
    <w:qFormat/>
    <w:uiPriority w:val="0"/>
    <w:pPr>
      <w:ind w:firstLine="420"/>
    </w:pPr>
    <w:rPr>
      <w:szCs w:val="20"/>
    </w:rPr>
  </w:style>
  <w:style w:type="paragraph" w:styleId="6">
    <w:name w:val="annotation text"/>
    <w:basedOn w:val="1"/>
    <w:link w:val="26"/>
    <w:autoRedefine/>
    <w:semiHidden/>
    <w:unhideWhenUsed/>
    <w:qFormat/>
    <w:uiPriority w:val="99"/>
    <w:pPr>
      <w:jc w:val="left"/>
    </w:pPr>
  </w:style>
  <w:style w:type="paragraph" w:styleId="7">
    <w:name w:val="Body Text"/>
    <w:basedOn w:val="1"/>
    <w:link w:val="37"/>
    <w:unhideWhenUsed/>
    <w:qFormat/>
    <w:uiPriority w:val="99"/>
    <w:pPr>
      <w:spacing w:after="120"/>
    </w:pPr>
  </w:style>
  <w:style w:type="paragraph" w:styleId="8">
    <w:name w:val="Balloon Text"/>
    <w:basedOn w:val="1"/>
    <w:link w:val="25"/>
    <w:autoRedefine/>
    <w:semiHidden/>
    <w:unhideWhenUsed/>
    <w:qFormat/>
    <w:uiPriority w:val="99"/>
    <w:rPr>
      <w:rFonts w:ascii="Times New Roman" w:hAnsi="Times New Roman" w:eastAsia="仿宋_GB2312" w:cs="Times New Roman"/>
      <w:spacing w:val="10"/>
      <w:sz w:val="18"/>
      <w:szCs w:val="18"/>
    </w:rPr>
  </w:style>
  <w:style w:type="paragraph" w:styleId="9">
    <w:name w:val="footer"/>
    <w:basedOn w:val="1"/>
    <w:link w:val="22"/>
    <w:autoRedefine/>
    <w:unhideWhenUsed/>
    <w:qFormat/>
    <w:uiPriority w:val="99"/>
    <w:pPr>
      <w:tabs>
        <w:tab w:val="center" w:pos="4153"/>
        <w:tab w:val="right" w:pos="8306"/>
      </w:tabs>
      <w:snapToGrid w:val="0"/>
      <w:jc w:val="left"/>
    </w:pPr>
    <w:rPr>
      <w:sz w:val="18"/>
      <w:szCs w:val="18"/>
    </w:rPr>
  </w:style>
  <w:style w:type="paragraph" w:styleId="10">
    <w:name w:val="header"/>
    <w:basedOn w:val="1"/>
    <w:link w:val="2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1">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2">
    <w:name w:val="annotation subject"/>
    <w:basedOn w:val="6"/>
    <w:next w:val="6"/>
    <w:link w:val="27"/>
    <w:autoRedefine/>
    <w:semiHidden/>
    <w:unhideWhenUsed/>
    <w:qFormat/>
    <w:uiPriority w:val="99"/>
    <w:rPr>
      <w:b/>
      <w:bCs/>
    </w:rPr>
  </w:style>
  <w:style w:type="table" w:styleId="14">
    <w:name w:val="Table Grid"/>
    <w:basedOn w:val="1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autoRedefine/>
    <w:qFormat/>
    <w:uiPriority w:val="22"/>
    <w:rPr>
      <w:b/>
      <w:bCs/>
    </w:rPr>
  </w:style>
  <w:style w:type="character" w:styleId="17">
    <w:name w:val="FollowedHyperlink"/>
    <w:basedOn w:val="15"/>
    <w:autoRedefine/>
    <w:semiHidden/>
    <w:unhideWhenUsed/>
    <w:qFormat/>
    <w:uiPriority w:val="99"/>
    <w:rPr>
      <w:color w:val="800080"/>
      <w:sz w:val="20"/>
      <w:szCs w:val="20"/>
      <w:u w:val="single"/>
    </w:rPr>
  </w:style>
  <w:style w:type="character" w:styleId="18">
    <w:name w:val="Hyperlink"/>
    <w:basedOn w:val="15"/>
    <w:autoRedefine/>
    <w:semiHidden/>
    <w:unhideWhenUsed/>
    <w:qFormat/>
    <w:uiPriority w:val="99"/>
    <w:rPr>
      <w:color w:val="0000FF"/>
      <w:sz w:val="20"/>
      <w:szCs w:val="20"/>
      <w:u w:val="single"/>
    </w:rPr>
  </w:style>
  <w:style w:type="character" w:styleId="19">
    <w:name w:val="annotation reference"/>
    <w:basedOn w:val="15"/>
    <w:autoRedefine/>
    <w:semiHidden/>
    <w:unhideWhenUsed/>
    <w:qFormat/>
    <w:uiPriority w:val="99"/>
    <w:rPr>
      <w:sz w:val="21"/>
      <w:szCs w:val="21"/>
    </w:rPr>
  </w:style>
  <w:style w:type="paragraph" w:customStyle="1" w:styleId="20">
    <w:name w:val="tableheader"/>
    <w:basedOn w:val="1"/>
    <w:autoRedefine/>
    <w:qFormat/>
    <w:uiPriority w:val="0"/>
    <w:pPr>
      <w:widowControl/>
      <w:shd w:val="clear" w:color="auto" w:fill="ABCDEF"/>
      <w:spacing w:before="100" w:beforeAutospacing="1" w:after="100" w:afterAutospacing="1"/>
      <w:jc w:val="left"/>
    </w:pPr>
    <w:rPr>
      <w:rFonts w:ascii="宋体" w:hAnsi="宋体" w:eastAsia="宋体" w:cs="宋体"/>
      <w:kern w:val="0"/>
      <w:sz w:val="24"/>
      <w:szCs w:val="24"/>
    </w:rPr>
  </w:style>
  <w:style w:type="character" w:customStyle="1" w:styleId="21">
    <w:name w:val="页眉 Char"/>
    <w:basedOn w:val="15"/>
    <w:link w:val="10"/>
    <w:autoRedefine/>
    <w:qFormat/>
    <w:uiPriority w:val="0"/>
    <w:rPr>
      <w:rFonts w:ascii="Times New Roman" w:hAnsi="Times New Roman" w:eastAsia="宋体" w:cs="Times New Roman"/>
      <w:sz w:val="18"/>
      <w:szCs w:val="18"/>
    </w:rPr>
  </w:style>
  <w:style w:type="character" w:customStyle="1" w:styleId="22">
    <w:name w:val="页脚 Char"/>
    <w:basedOn w:val="15"/>
    <w:link w:val="9"/>
    <w:autoRedefine/>
    <w:qFormat/>
    <w:uiPriority w:val="99"/>
    <w:rPr>
      <w:sz w:val="18"/>
      <w:szCs w:val="18"/>
    </w:rPr>
  </w:style>
  <w:style w:type="paragraph" w:customStyle="1" w:styleId="23">
    <w:name w:val="首行缩进"/>
    <w:basedOn w:val="1"/>
    <w:autoRedefine/>
    <w:qFormat/>
    <w:uiPriority w:val="0"/>
    <w:pPr>
      <w:ind w:firstLine="480" w:firstLineChars="200"/>
    </w:pPr>
    <w:rPr>
      <w:rFonts w:ascii="Calibri" w:hAnsi="Calibri" w:eastAsia="仿宋" w:cs="Times New Roman"/>
      <w:sz w:val="28"/>
      <w:lang w:val="zh-CN"/>
    </w:rPr>
  </w:style>
  <w:style w:type="paragraph" w:styleId="24">
    <w:name w:val="List Paragraph"/>
    <w:basedOn w:val="1"/>
    <w:autoRedefine/>
    <w:qFormat/>
    <w:uiPriority w:val="34"/>
    <w:pPr>
      <w:ind w:firstLine="420" w:firstLineChars="200"/>
    </w:pPr>
  </w:style>
  <w:style w:type="character" w:customStyle="1" w:styleId="25">
    <w:name w:val="批注框文本 Char"/>
    <w:basedOn w:val="15"/>
    <w:link w:val="8"/>
    <w:autoRedefine/>
    <w:semiHidden/>
    <w:qFormat/>
    <w:uiPriority w:val="99"/>
    <w:rPr>
      <w:rFonts w:ascii="Times New Roman" w:hAnsi="Times New Roman" w:eastAsia="仿宋_GB2312" w:cs="Times New Roman"/>
      <w:spacing w:val="10"/>
      <w:sz w:val="18"/>
      <w:szCs w:val="18"/>
    </w:rPr>
  </w:style>
  <w:style w:type="character" w:customStyle="1" w:styleId="26">
    <w:name w:val="批注文字 Char"/>
    <w:basedOn w:val="15"/>
    <w:link w:val="6"/>
    <w:autoRedefine/>
    <w:semiHidden/>
    <w:qFormat/>
    <w:uiPriority w:val="99"/>
  </w:style>
  <w:style w:type="character" w:customStyle="1" w:styleId="27">
    <w:name w:val="批注主题 Char"/>
    <w:basedOn w:val="26"/>
    <w:link w:val="12"/>
    <w:autoRedefine/>
    <w:semiHidden/>
    <w:qFormat/>
    <w:uiPriority w:val="99"/>
    <w:rPr>
      <w:b/>
      <w:bCs/>
    </w:rPr>
  </w:style>
  <w:style w:type="character" w:customStyle="1" w:styleId="28">
    <w:name w:val="标题 1 Char"/>
    <w:basedOn w:val="15"/>
    <w:link w:val="4"/>
    <w:autoRedefine/>
    <w:qFormat/>
    <w:uiPriority w:val="9"/>
    <w:rPr>
      <w:b/>
      <w:bCs/>
      <w:kern w:val="44"/>
      <w:sz w:val="44"/>
      <w:szCs w:val="44"/>
    </w:rPr>
  </w:style>
  <w:style w:type="paragraph" w:customStyle="1" w:styleId="29">
    <w:name w:val="封面标准名称"/>
    <w:qFormat/>
    <w:uiPriority w:val="0"/>
    <w:pPr>
      <w:framePr w:w="9639" w:h="6917" w:wrap="around" w:vAnchor="page" w:hAnchor="page" w:xAlign="center" w:y="6408" w:anchorLock="1"/>
      <w:widowControl w:val="0"/>
      <w:spacing w:line="680" w:lineRule="exact"/>
      <w:jc w:val="center"/>
    </w:pPr>
    <w:rPr>
      <w:rFonts w:ascii="黑体" w:hAnsi="Times New Roman" w:eastAsia="黑体" w:cs="Times New Roman"/>
      <w:sz w:val="52"/>
      <w:lang w:val="en-US" w:eastAsia="zh-CN" w:bidi="ar-SA"/>
    </w:rPr>
  </w:style>
  <w:style w:type="character" w:customStyle="1" w:styleId="30">
    <w:name w:val="font51"/>
    <w:basedOn w:val="15"/>
    <w:qFormat/>
    <w:uiPriority w:val="0"/>
    <w:rPr>
      <w:rFonts w:ascii="仿宋_GB2312" w:eastAsia="仿宋_GB2312" w:cs="仿宋_GB2312"/>
      <w:color w:val="000000"/>
      <w:sz w:val="28"/>
      <w:szCs w:val="28"/>
      <w:u w:val="none"/>
    </w:rPr>
  </w:style>
  <w:style w:type="character" w:customStyle="1" w:styleId="31">
    <w:name w:val="font21"/>
    <w:basedOn w:val="15"/>
    <w:qFormat/>
    <w:uiPriority w:val="0"/>
    <w:rPr>
      <w:rFonts w:hint="eastAsia" w:ascii="宋体" w:hAnsi="宋体" w:eastAsia="宋体" w:cs="宋体"/>
      <w:color w:val="000000"/>
      <w:sz w:val="28"/>
      <w:szCs w:val="28"/>
      <w:u w:val="none"/>
    </w:rPr>
  </w:style>
  <w:style w:type="character" w:customStyle="1" w:styleId="32">
    <w:name w:val="font31"/>
    <w:basedOn w:val="15"/>
    <w:qFormat/>
    <w:uiPriority w:val="0"/>
    <w:rPr>
      <w:rFonts w:hint="default" w:ascii="Times New Roman" w:hAnsi="Times New Roman" w:cs="Times New Roman"/>
      <w:color w:val="000000"/>
      <w:sz w:val="28"/>
      <w:szCs w:val="28"/>
      <w:u w:val="none"/>
    </w:rPr>
  </w:style>
  <w:style w:type="character" w:customStyle="1" w:styleId="33">
    <w:name w:val="font41"/>
    <w:basedOn w:val="15"/>
    <w:qFormat/>
    <w:uiPriority w:val="0"/>
    <w:rPr>
      <w:rFonts w:hint="eastAsia" w:ascii="仿宋_GB2312" w:eastAsia="仿宋_GB2312" w:cs="仿宋_GB2312"/>
      <w:color w:val="000000"/>
      <w:sz w:val="28"/>
      <w:szCs w:val="28"/>
      <w:u w:val="none"/>
    </w:rPr>
  </w:style>
  <w:style w:type="character" w:customStyle="1" w:styleId="34">
    <w:name w:val="font11"/>
    <w:basedOn w:val="15"/>
    <w:qFormat/>
    <w:uiPriority w:val="0"/>
    <w:rPr>
      <w:rFonts w:hint="eastAsia" w:ascii="仿宋_GB2312" w:eastAsia="仿宋_GB2312" w:cs="仿宋_GB2312"/>
      <w:color w:val="000000"/>
      <w:sz w:val="22"/>
      <w:szCs w:val="22"/>
      <w:u w:val="none"/>
    </w:rPr>
  </w:style>
  <w:style w:type="table" w:customStyle="1" w:styleId="35">
    <w:name w:val="Table Normal"/>
    <w:semiHidden/>
    <w:unhideWhenUsed/>
    <w:qFormat/>
    <w:uiPriority w:val="0"/>
    <w:tblPr>
      <w:tblCellMar>
        <w:top w:w="0" w:type="dxa"/>
        <w:left w:w="0" w:type="dxa"/>
        <w:bottom w:w="0" w:type="dxa"/>
        <w:right w:w="0" w:type="dxa"/>
      </w:tblCellMar>
    </w:tblPr>
  </w:style>
  <w:style w:type="paragraph" w:customStyle="1" w:styleId="36">
    <w:name w:val="Table Text"/>
    <w:basedOn w:val="1"/>
    <w:semiHidden/>
    <w:qFormat/>
    <w:uiPriority w:val="0"/>
    <w:rPr>
      <w:rFonts w:ascii="宋体" w:hAnsi="宋体" w:eastAsia="宋体" w:cs="宋体"/>
      <w:sz w:val="20"/>
      <w:szCs w:val="20"/>
      <w:lang w:eastAsia="en-US"/>
    </w:rPr>
  </w:style>
  <w:style w:type="character" w:customStyle="1" w:styleId="37">
    <w:name w:val="正文文本 Char"/>
    <w:basedOn w:val="15"/>
    <w:link w:val="7"/>
    <w:qFormat/>
    <w:uiPriority w:val="0"/>
    <w:rPr>
      <w:rFonts w:hint="default" w:ascii="Calibri" w:hAnsi="Calibri" w:eastAsia="宋体" w:cs="Times New Roman"/>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DELL</Company>
  <Pages>5</Pages>
  <Words>3414</Words>
  <Characters>3598</Characters>
  <Lines>197</Lines>
  <Paragraphs>160</Paragraphs>
  <TotalTime>0</TotalTime>
  <ScaleCrop>false</ScaleCrop>
  <LinksUpToDate>false</LinksUpToDate>
  <CharactersWithSpaces>3615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2023-04-18T02:37:00Z</dcterms:created>
  <dc:creator>张婷婷</dc:creator>
  <cp:lastModifiedBy>SMN</cp:lastModifiedBy>
  <cp:lastPrinted>2026-04-08T07:30:00Z</cp:lastPrinted>
  <dcterms:modified xsi:type="dcterms:W3CDTF">2026-09-30T06:59:56Z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937A245FBA5D4AE2800F3F121286F715_13</vt:lpwstr>
  </property>
  <property fmtid="{D5CDD505-2E9C-101B-9397-08002B2CF9AE}" pid="4" name="KSOTemplateDocerSaveRecord">
    <vt:lpwstr>eyJoZGlkIjoiNWI5MzFlZGQ1MWM5ZjJlZGU1ZDlkNWI3M2NjN2I4NDUiLCJ1c2VySWQiOiIzNDQ0ODA3MjQifQ==</vt:lpwstr>
  </property>
</Properties>
</file>