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96AEF">
      <w:pPr>
        <w:spacing w:line="440" w:lineRule="exact"/>
        <w:jc w:val="center"/>
        <w:rPr>
          <w:rFonts w:ascii="仿宋_GB2312" w:eastAsia="仿宋_GB2312"/>
          <w:b/>
          <w:sz w:val="32"/>
          <w:szCs w:val="32"/>
        </w:rPr>
      </w:pPr>
      <w:bookmarkStart w:id="0" w:name="OLE_LINK11"/>
      <w:bookmarkStart w:id="1" w:name="OLE_LINK7"/>
      <w:r>
        <w:rPr>
          <w:rFonts w:hint="eastAsia" w:ascii="仿宋_GB2312" w:eastAsia="仿宋_GB2312"/>
          <w:b/>
          <w:sz w:val="32"/>
          <w:szCs w:val="32"/>
        </w:rPr>
        <w:t>南方医科大学深圳口腔医院（坪山）</w:t>
      </w:r>
    </w:p>
    <w:bookmarkEnd w:id="0"/>
    <w:bookmarkEnd w:id="1"/>
    <w:p w14:paraId="2B8B2E83">
      <w:pPr>
        <w:spacing w:line="440" w:lineRule="exact"/>
        <w:jc w:val="center"/>
        <w:rPr>
          <w:rFonts w:hint="eastAsia" w:ascii="仿宋_GB2312" w:eastAsia="仿宋_GB2312"/>
          <w:b/>
          <w:sz w:val="32"/>
          <w:szCs w:val="32"/>
        </w:rPr>
      </w:pPr>
      <w:r>
        <w:rPr>
          <w:rFonts w:hint="eastAsia" w:ascii="仿宋_GB2312" w:eastAsia="仿宋_GB2312"/>
          <w:b/>
          <w:sz w:val="32"/>
          <w:szCs w:val="32"/>
        </w:rPr>
        <w:t>临床检验病理检查外送及检验科技术服务合作项目</w:t>
      </w:r>
    </w:p>
    <w:p w14:paraId="67A19BA2">
      <w:pPr>
        <w:spacing w:line="440" w:lineRule="exact"/>
        <w:jc w:val="center"/>
        <w:rPr>
          <w:rFonts w:ascii="仿宋_GB2312" w:eastAsia="仿宋_GB2312"/>
          <w:b/>
          <w:sz w:val="28"/>
          <w:szCs w:val="28"/>
        </w:rPr>
      </w:pPr>
      <w:r>
        <w:rPr>
          <w:rFonts w:hint="eastAsia" w:ascii="仿宋_GB2312" w:eastAsia="仿宋_GB2312"/>
          <w:b/>
          <w:sz w:val="28"/>
          <w:szCs w:val="28"/>
        </w:rPr>
        <w:t>（项目编码：NFYKDSZKQ-JYBLWSJJSFW-FW-2026093023）</w:t>
      </w:r>
    </w:p>
    <w:tbl>
      <w:tblPr>
        <w:tblStyle w:val="19"/>
        <w:tblW w:w="5000" w:type="pct"/>
        <w:jc w:val="center"/>
        <w:tblCellSpacing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15" w:type="dxa"/>
          <w:left w:w="15" w:type="dxa"/>
          <w:bottom w:w="15" w:type="dxa"/>
          <w:right w:w="15" w:type="dxa"/>
        </w:tblCellMar>
      </w:tblPr>
      <w:tblGrid>
        <w:gridCol w:w="964"/>
        <w:gridCol w:w="3908"/>
        <w:gridCol w:w="1516"/>
        <w:gridCol w:w="1978"/>
      </w:tblGrid>
      <w:tr w14:paraId="3803D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576" w:type="pct"/>
            <w:vAlign w:val="center"/>
          </w:tcPr>
          <w:p w14:paraId="4A982CA2">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项目名称</w:t>
            </w:r>
          </w:p>
        </w:tc>
        <w:tc>
          <w:tcPr>
            <w:tcW w:w="2335" w:type="pct"/>
            <w:vAlign w:val="center"/>
          </w:tcPr>
          <w:p w14:paraId="5CE096C2">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临床检验病理检查外送及检验科技术服务合作项目</w:t>
            </w:r>
          </w:p>
        </w:tc>
        <w:tc>
          <w:tcPr>
            <w:tcW w:w="906" w:type="pct"/>
            <w:vAlign w:val="center"/>
          </w:tcPr>
          <w:p w14:paraId="075F3990">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是否预选项目</w:t>
            </w:r>
          </w:p>
        </w:tc>
        <w:tc>
          <w:tcPr>
            <w:tcW w:w="1182" w:type="pct"/>
            <w:vAlign w:val="center"/>
          </w:tcPr>
          <w:p w14:paraId="6C78AA49">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否</w:t>
            </w:r>
          </w:p>
        </w:tc>
      </w:tr>
      <w:tr w14:paraId="368C8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576" w:type="pct"/>
            <w:vAlign w:val="center"/>
          </w:tcPr>
          <w:p w14:paraId="744D0627">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采购人名称</w:t>
            </w:r>
          </w:p>
        </w:tc>
        <w:tc>
          <w:tcPr>
            <w:tcW w:w="2335" w:type="pct"/>
            <w:vAlign w:val="center"/>
          </w:tcPr>
          <w:p w14:paraId="14A22D88">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南方医科大学深圳口腔医院（坪山）</w:t>
            </w:r>
          </w:p>
        </w:tc>
        <w:tc>
          <w:tcPr>
            <w:tcW w:w="906" w:type="pct"/>
            <w:vAlign w:val="center"/>
          </w:tcPr>
          <w:p w14:paraId="22C1BD6A">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采购方式</w:t>
            </w:r>
          </w:p>
        </w:tc>
        <w:tc>
          <w:tcPr>
            <w:tcW w:w="1182" w:type="pct"/>
            <w:vAlign w:val="center"/>
          </w:tcPr>
          <w:p w14:paraId="3730702B">
            <w:pP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本次为市场调研，不属于招标采购</w:t>
            </w:r>
          </w:p>
        </w:tc>
      </w:tr>
      <w:tr w14:paraId="45F8C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576" w:type="pct"/>
            <w:vAlign w:val="center"/>
          </w:tcPr>
          <w:p w14:paraId="6C819CAA">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预算限额（元）</w:t>
            </w:r>
          </w:p>
        </w:tc>
        <w:tc>
          <w:tcPr>
            <w:tcW w:w="4423" w:type="pct"/>
            <w:gridSpan w:val="3"/>
            <w:vAlign w:val="center"/>
          </w:tcPr>
          <w:p w14:paraId="70A0E812">
            <w:pP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720000元</w:t>
            </w:r>
            <w:r>
              <w:rPr>
                <w:rFonts w:hint="eastAsia" w:ascii="仿宋" w:hAnsi="仿宋" w:eastAsia="仿宋" w:cs="仿宋"/>
                <w:color w:val="000000" w:themeColor="text1"/>
                <w:sz w:val="24"/>
                <w:szCs w:val="24"/>
                <w:lang w:val="en-US" w:eastAsia="zh-CN"/>
                <w14:textFill>
                  <w14:solidFill>
                    <w14:schemeClr w14:val="tx1"/>
                  </w14:solidFill>
                </w14:textFill>
              </w:rPr>
              <w:t>/年</w:t>
            </w:r>
          </w:p>
        </w:tc>
      </w:tr>
      <w:tr w14:paraId="434C6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576" w:type="pct"/>
            <w:vAlign w:val="center"/>
          </w:tcPr>
          <w:p w14:paraId="0F02EAC6">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项目背景</w:t>
            </w:r>
          </w:p>
        </w:tc>
        <w:tc>
          <w:tcPr>
            <w:tcW w:w="4423" w:type="pct"/>
            <w:gridSpan w:val="3"/>
            <w:vAlign w:val="center"/>
          </w:tcPr>
          <w:p w14:paraId="2C71A176">
            <w:pPr>
              <w:widowControl/>
              <w:ind w:firstLine="480" w:firstLineChars="20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我院此前已采购临床检验病理检查外送及检验科技术服务合作项目，现有服务合同现已到期。为了保障不影响临床诊断工作连续性，延续标准化外送管理体系，规范标本转运、检测质控与报告交付流程，保障医疗质量安全，拟开展本项目采购，遴选合规第三方机构承接专项标本检测，并配套检验科质控、技术咨询等服务，持续满足临床诊疗工作需要。</w:t>
            </w:r>
          </w:p>
        </w:tc>
      </w:tr>
      <w:tr w14:paraId="0EF65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90" w:hRule="atLeast"/>
          <w:tblCellSpacing w:w="0" w:type="dxa"/>
          <w:jc w:val="center"/>
        </w:trPr>
        <w:tc>
          <w:tcPr>
            <w:tcW w:w="576" w:type="pct"/>
            <w:vAlign w:val="center"/>
          </w:tcPr>
          <w:p w14:paraId="177A8AB8">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资质要求</w:t>
            </w:r>
          </w:p>
        </w:tc>
        <w:tc>
          <w:tcPr>
            <w:tcW w:w="4423" w:type="pct"/>
            <w:gridSpan w:val="3"/>
            <w:vAlign w:val="center"/>
          </w:tcPr>
          <w:p w14:paraId="4AB05705">
            <w:pPr>
              <w:pStyle w:val="5"/>
              <w:rPr>
                <w:rFonts w:ascii="仿宋" w:hAnsi="仿宋" w:eastAsia="仿宋" w:cs="仿宋"/>
                <w:color w:val="000000" w:themeColor="text1"/>
                <w:sz w:val="24"/>
                <w:szCs w:val="24"/>
                <w14:textFill>
                  <w14:solidFill>
                    <w14:schemeClr w14:val="tx1"/>
                  </w14:solidFill>
                </w14:textFill>
              </w:rPr>
            </w:pPr>
            <w:bookmarkStart w:id="5" w:name="_GoBack"/>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lang w:val="en-US" w:eastAsia="zh-CN"/>
                <w14:textFill>
                  <w14:solidFill>
                    <w14:schemeClr w14:val="tx1"/>
                  </w14:solidFill>
                </w14:textFill>
              </w:rPr>
              <w:t>参与市场调研的供应商需</w:t>
            </w:r>
            <w:r>
              <w:rPr>
                <w:rFonts w:hint="eastAsia" w:ascii="仿宋" w:hAnsi="仿宋" w:eastAsia="仿宋" w:cs="仿宋"/>
                <w:color w:val="000000" w:themeColor="text1"/>
                <w:sz w:val="24"/>
                <w:szCs w:val="24"/>
                <w14:textFill>
                  <w14:solidFill>
                    <w14:schemeClr w14:val="tx1"/>
                  </w14:solidFill>
                </w14:textFill>
              </w:rPr>
              <w:t>具有独立承担民事责任的能力（提供营业执照或事业单位法人证书等证明资料扫描件，原件备查，分支机构参与的，须同时提供总公司授权文件且授权书载明其民事责任由总公司承担）；</w:t>
            </w:r>
          </w:p>
          <w:p w14:paraId="75AA8158">
            <w:pPr>
              <w:pStyle w:val="5"/>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2.本项目不接受联合体</w:t>
            </w:r>
            <w:r>
              <w:rPr>
                <w:rFonts w:hint="eastAsia" w:ascii="仿宋" w:hAnsi="仿宋" w:eastAsia="仿宋" w:cs="仿宋"/>
                <w:color w:val="000000" w:themeColor="text1"/>
                <w:sz w:val="24"/>
                <w:szCs w:val="24"/>
                <w:lang w:val="en-US" w:eastAsia="zh-CN"/>
                <w14:textFill>
                  <w14:solidFill>
                    <w14:schemeClr w14:val="tx1"/>
                  </w14:solidFill>
                </w14:textFill>
              </w:rPr>
              <w:t>参与</w:t>
            </w:r>
            <w:r>
              <w:rPr>
                <w:rFonts w:hint="eastAsia" w:ascii="仿宋" w:hAnsi="仿宋" w:eastAsia="仿宋" w:cs="仿宋"/>
                <w:color w:val="000000" w:themeColor="text1"/>
                <w:sz w:val="24"/>
                <w:szCs w:val="24"/>
                <w14:textFill>
                  <w14:solidFill>
                    <w14:schemeClr w14:val="tx1"/>
                  </w14:solidFill>
                </w14:textFill>
              </w:rPr>
              <w:t>，不允许转包、分包；</w:t>
            </w:r>
          </w:p>
          <w:p w14:paraId="142D9663">
            <w:pPr>
              <w:pStyle w:val="5"/>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3.参与本项目政府采购活动时不存在被有关部门禁止参与政府采购活动且在有效期内的情况（由供应商在《政府采购投标及履约承诺函》中作出声明）；</w:t>
            </w:r>
          </w:p>
          <w:p w14:paraId="099D4D55">
            <w:pPr>
              <w:pStyle w:val="5"/>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4.具备《中华人民共和国政府采购法》第二十二条第一款的条件（由供应商在《政府采购投标及履约承诺函》中作出声明）；</w:t>
            </w:r>
          </w:p>
          <w:p w14:paraId="01719A82">
            <w:pPr>
              <w:pStyle w:val="5"/>
              <w:ind w:firstLine="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5.未被列入失信被执行人、重大税收违法案件当事人名单、政府采购严重违法失信行为记录名单（由供应商在《政府采购投标及履约承诺函》中作出声明）；</w:t>
            </w:r>
          </w:p>
          <w:p w14:paraId="481640A2">
            <w:pPr>
              <w:pStyle w:val="5"/>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6.不存在《深圳市财政局政府采购供应商信用信息管理办法》（深财规〔2023〕3号）列明的严重违法失信行为（由供应商在《政府采购投标及履约承诺函》中作出声明）；</w:t>
            </w:r>
          </w:p>
          <w:p w14:paraId="7906668B">
            <w:pPr>
              <w:pStyle w:val="5"/>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w:t>
            </w:r>
            <w:r>
              <w:rPr>
                <w:rFonts w:hint="eastAsia" w:ascii="仿宋" w:hAnsi="仿宋" w:eastAsia="仿宋" w:cs="仿宋"/>
                <w:color w:val="000000" w:themeColor="text1"/>
                <w:sz w:val="24"/>
                <w:szCs w:val="24"/>
                <w14:textFill>
                  <w14:solidFill>
                    <w14:schemeClr w14:val="tx1"/>
                  </w14:solidFill>
                </w14:textFill>
              </w:rPr>
              <w:t>.不同供应商的法定代表人、主要经营负责人、项目投标授权代表人、项目负责人、主要技术人员不得为同一人、属同一单位或者在同一单位缴纳社会保险；不同供应商的</w:t>
            </w:r>
            <w:r>
              <w:rPr>
                <w:rFonts w:hint="eastAsia" w:ascii="仿宋" w:hAnsi="仿宋" w:eastAsia="仿宋" w:cs="仿宋"/>
                <w:color w:val="000000" w:themeColor="text1"/>
                <w:sz w:val="24"/>
                <w:szCs w:val="24"/>
                <w:lang w:val="en-US" w:eastAsia="zh-CN"/>
                <w14:textFill>
                  <w14:solidFill>
                    <w14:schemeClr w14:val="tx1"/>
                  </w14:solidFill>
                </w14:textFill>
              </w:rPr>
              <w:t>报价</w:t>
            </w:r>
            <w:r>
              <w:rPr>
                <w:rFonts w:hint="eastAsia" w:ascii="仿宋" w:hAnsi="仿宋" w:eastAsia="仿宋" w:cs="仿宋"/>
                <w:color w:val="000000" w:themeColor="text1"/>
                <w:sz w:val="24"/>
                <w:szCs w:val="24"/>
                <w14:textFill>
                  <w14:solidFill>
                    <w14:schemeClr w14:val="tx1"/>
                  </w14:solidFill>
                </w14:textFill>
              </w:rPr>
              <w:t>文件不得由同一单位或者同一人编制；单位负责人为同一人或者存在直接控股、管理关系的不同供应商，不得参加本项目</w:t>
            </w:r>
            <w:r>
              <w:rPr>
                <w:rFonts w:hint="eastAsia" w:ascii="仿宋" w:hAnsi="仿宋" w:eastAsia="仿宋" w:cs="仿宋"/>
                <w:color w:val="000000" w:themeColor="text1"/>
                <w:sz w:val="24"/>
                <w:szCs w:val="24"/>
                <w:lang w:val="en-US" w:eastAsia="zh-CN"/>
                <w14:textFill>
                  <w14:solidFill>
                    <w14:schemeClr w14:val="tx1"/>
                  </w14:solidFill>
                </w14:textFill>
              </w:rPr>
              <w:t>市场调研</w:t>
            </w:r>
            <w:r>
              <w:rPr>
                <w:rFonts w:hint="eastAsia" w:ascii="仿宋" w:hAnsi="仿宋" w:eastAsia="仿宋" w:cs="仿宋"/>
                <w:color w:val="000000" w:themeColor="text1"/>
                <w:sz w:val="24"/>
                <w:szCs w:val="24"/>
                <w14:textFill>
                  <w14:solidFill>
                    <w14:schemeClr w14:val="tx1"/>
                  </w14:solidFill>
                </w14:textFill>
              </w:rPr>
              <w:t>活动（由供应商填写《供应商基本情况表》相关信息）；</w:t>
            </w:r>
          </w:p>
          <w:p w14:paraId="333CE6DC">
            <w:pPr>
              <w:pStyle w:val="5"/>
              <w:ind w:left="0" w:leftChars="0" w:firstLine="480"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8</w:t>
            </w:r>
            <w:r>
              <w:rPr>
                <w:rFonts w:hint="eastAsia" w:ascii="仿宋" w:hAnsi="仿宋" w:eastAsia="仿宋" w:cs="仿宋"/>
                <w:color w:val="000000" w:themeColor="text1"/>
                <w:sz w:val="24"/>
                <w:szCs w:val="24"/>
                <w14:textFill>
                  <w14:solidFill>
                    <w14:schemeClr w14:val="tx1"/>
                  </w14:solidFill>
                </w14:textFill>
              </w:rPr>
              <w:t>.需具有卫生部门核发且在有效期内的《中华人民共和国医疗机构执业许可证》且诊疗科目设置有医学检验科（提供有效的证书扫描件）</w:t>
            </w:r>
            <w:r>
              <w:rPr>
                <w:rFonts w:hint="eastAsia" w:ascii="仿宋" w:hAnsi="仿宋" w:eastAsia="仿宋" w:cs="仿宋"/>
                <w:color w:val="000000" w:themeColor="text1"/>
                <w:sz w:val="24"/>
                <w:szCs w:val="24"/>
                <w:lang w:eastAsia="zh-CN"/>
                <w14:textFill>
                  <w14:solidFill>
                    <w14:schemeClr w14:val="tx1"/>
                  </w14:solidFill>
                </w14:textFill>
              </w:rPr>
              <w:t>。</w:t>
            </w:r>
            <w:bookmarkEnd w:id="5"/>
            <w:r>
              <w:rPr>
                <w:rFonts w:hint="eastAsia" w:ascii="仿宋" w:hAnsi="仿宋" w:eastAsia="仿宋" w:cs="仿宋"/>
                <w:color w:val="000000" w:themeColor="text1"/>
                <w:sz w:val="24"/>
                <w:szCs w:val="24"/>
                <w14:textFill>
                  <w14:solidFill>
                    <w14:schemeClr w14:val="tx1"/>
                  </w14:solidFill>
                </w14:textFill>
              </w:rPr>
              <w:t>。</w:t>
            </w:r>
          </w:p>
        </w:tc>
      </w:tr>
      <w:tr w14:paraId="3695F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396" w:hRule="atLeast"/>
          <w:tblCellSpacing w:w="0" w:type="dxa"/>
          <w:jc w:val="center"/>
        </w:trPr>
        <w:tc>
          <w:tcPr>
            <w:tcW w:w="576" w:type="pct"/>
            <w:tcBorders>
              <w:bottom w:val="single" w:color="auto" w:sz="4" w:space="0"/>
            </w:tcBorders>
            <w:vAlign w:val="center"/>
          </w:tcPr>
          <w:p w14:paraId="07D8EDC9">
            <w:pPr>
              <w:rPr>
                <w:rFonts w:ascii="仿宋" w:hAnsi="仿宋" w:eastAsia="仿宋" w:cs="仿宋"/>
                <w:color w:val="000000" w:themeColor="text1"/>
                <w:sz w:val="24"/>
                <w:szCs w:val="24"/>
                <w14:textFill>
                  <w14:solidFill>
                    <w14:schemeClr w14:val="tx1"/>
                  </w14:solidFill>
                </w14:textFill>
              </w:rPr>
            </w:pPr>
            <w:bookmarkStart w:id="2" w:name="_Hlk132703410"/>
            <w:r>
              <w:rPr>
                <w:rFonts w:hint="eastAsia" w:ascii="仿宋" w:hAnsi="仿宋" w:eastAsia="仿宋" w:cs="仿宋"/>
                <w:color w:val="000000" w:themeColor="text1"/>
                <w:sz w:val="24"/>
                <w:szCs w:val="24"/>
                <w14:textFill>
                  <w14:solidFill>
                    <w14:schemeClr w14:val="tx1"/>
                  </w14:solidFill>
                </w14:textFill>
              </w:rPr>
              <w:t>服务技术要求</w:t>
            </w:r>
          </w:p>
        </w:tc>
        <w:tc>
          <w:tcPr>
            <w:tcW w:w="4423" w:type="pct"/>
            <w:gridSpan w:val="3"/>
            <w:tcBorders>
              <w:bottom w:val="single" w:color="auto" w:sz="4" w:space="0"/>
            </w:tcBorders>
            <w:vAlign w:val="center"/>
          </w:tcPr>
          <w:p w14:paraId="4938C8F7">
            <w:pPr>
              <w:pStyle w:val="5"/>
              <w:adjustRightInd/>
              <w:spacing w:line="360" w:lineRule="auto"/>
              <w:ind w:firstLine="0"/>
              <w:textAlignment w:val="auto"/>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（一）技术要求</w:t>
            </w:r>
          </w:p>
          <w:p w14:paraId="3C58D52E">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1.投标人实验室符合国家卫生健康委《医疗机构临床实验室管理办法》等法律法规要求；</w:t>
            </w:r>
          </w:p>
          <w:p w14:paraId="3ADF63DE">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2.投标人保证按国家检测规范进行操作，并对标本的检测报告承担相应的责任；</w:t>
            </w:r>
          </w:p>
          <w:p w14:paraId="747B4C09">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3.投标人具备完善的售后服务能力；</w:t>
            </w:r>
          </w:p>
          <w:p w14:paraId="14827341">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4.投标人检验实验室需拥有专业的检验技术人员，可提供专业的医学检验服务；</w:t>
            </w:r>
          </w:p>
          <w:p w14:paraId="701EA239">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5.检测效率与时效性、质量与标准、技术先进与稳定性：</w:t>
            </w:r>
          </w:p>
          <w:p w14:paraId="39A4B7CE">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5.1检测效率与时效性要求：投标人应建立完善的微生物检测流程体系，承诺对开展的大多数微生物检测项目其阳性报告（包括一级报告），以支持临床快速决策。</w:t>
            </w:r>
          </w:p>
          <w:p w14:paraId="56BA743C">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5.2检测质量与标准化要求：为确保检测结果的准确性与可重复性，供应商的检测平台应实现高度的自动化和标准化，能最大限度减少人工操作环节，以降低污染和差错风险。</w:t>
            </w:r>
          </w:p>
          <w:p w14:paraId="36483DE4">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5.3技术先进与稳定性要求：投标人应具备持续的技术更新能力和稳定的服务质量保障体系。</w:t>
            </w:r>
          </w:p>
          <w:p w14:paraId="7C2F77A6">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6.投标人拥有权威医学院校的技术支撑，能协助医院开展检验人员进修培训，协助医院开展继续教育、专题讲座等学术交流活动。</w:t>
            </w:r>
          </w:p>
          <w:p w14:paraId="53E685D5">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7.投标人LIS系统可与医院的LIS系统对接，实现检验项目结果传输，方便检验项目的统一管理；</w:t>
            </w:r>
          </w:p>
          <w:p w14:paraId="280CE0BB">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8.投标人具备病理报告结构化服务能力，能提高病理诊断质量，推进数智化病理服务体系建设，促进病理诊断报告的规范化、标准化。</w:t>
            </w:r>
          </w:p>
          <w:p w14:paraId="1675A4B7">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9.被委托实验室的质量要求：</w:t>
            </w:r>
          </w:p>
          <w:p w14:paraId="02CD0482">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9.1质量要求：采购人每季度对中标人的服务质量进行季度考核并根据考核结果扣罚中标人的服务费，考核标准由采购人在签订合同时与中标人协商确定。</w:t>
            </w:r>
          </w:p>
          <w:p w14:paraId="3347A288">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9.2投标人对采购人送检的合格样本结果进行负责，对于按照投标人取材要求进行取材的合格样本，若因投标人原因导致检测结果存在质量问题，由投标人承担相关责任。</w:t>
            </w:r>
          </w:p>
          <w:p w14:paraId="67EB8DB2">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9.3投标人对开展的项目进行室内质控，定期进行质控分析，及时对失控进行处理，保证检验结果的质量。</w:t>
            </w:r>
          </w:p>
          <w:p w14:paraId="5D1A1E6F">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9.4投标人有专人负责采购人业务及质量、技术、培训等工作。</w:t>
            </w:r>
          </w:p>
          <w:p w14:paraId="19731824">
            <w:pPr>
              <w:pStyle w:val="5"/>
              <w:adjustRightInd/>
              <w:spacing w:line="360" w:lineRule="auto"/>
              <w:ind w:firstLine="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9.5对于样本周转时间（TAT）的要求：</w:t>
            </w:r>
          </w:p>
          <w:p w14:paraId="2D0D2EC8">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①中标后，需在合同中有明确的样本送检和报告发布时间服务承诺。检测报告需按照投标人提供的《检测项目手册》规定的出报告时间出具。</w:t>
            </w:r>
          </w:p>
          <w:p w14:paraId="561D35BA">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②样本周转时间起点为委托检测单位接收样本，终点为采购人检验科收到检验报告。</w:t>
            </w:r>
          </w:p>
          <w:p w14:paraId="2F8BCBBB">
            <w:pPr>
              <w:pStyle w:val="5"/>
              <w:adjustRightInd/>
              <w:spacing w:line="360" w:lineRule="auto"/>
              <w:ind w:firstLine="480" w:firstLineChars="200"/>
              <w:textAlignment w:val="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③出现特殊情况，如恶劣天气、设备故障等突发情况，导致不能按时发出报告，须通知采购人。</w:t>
            </w:r>
          </w:p>
          <w:p w14:paraId="6D6BD95D">
            <w:pPr>
              <w:spacing w:line="360" w:lineRule="auto"/>
              <w:jc w:val="left"/>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（二）服务要求：</w:t>
            </w:r>
          </w:p>
          <w:p w14:paraId="0C5BFDC5">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（1）投标人需安排专人每周一至周日定时前往医院收取标本的服务，时间为8:30-17:30。遇特殊标本可机动收取。</w:t>
            </w:r>
          </w:p>
          <w:p w14:paraId="1C63C17F">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（2）投标人需免费提供特殊检查项目所需要的相关耗材、知情同意书、专用申请单等。</w:t>
            </w:r>
          </w:p>
          <w:p w14:paraId="61DB3723">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3）投标人配备完善医疗物流系统，保证标本接收、送检运输过程的安全与规范，保证标本的检测前质量。标本运输须要求直立、冷藏、封闭，符合生物安全要求，确保运输过程的样品质量和环境安全。对于需低温冷冻或有特殊要求的样本视具体项目与采购人商定。</w:t>
            </w:r>
          </w:p>
          <w:p w14:paraId="54EE8DCA">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（4）投标人具备货物运输条件鉴定书。</w:t>
            </w:r>
          </w:p>
          <w:p w14:paraId="683EFD56">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（5）投标人需按照公开的诊断项目本的报告时间内为采购人出具检验报告。</w:t>
            </w:r>
          </w:p>
          <w:p w14:paraId="7FCF16CA">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（6）投标人配备完善的信息系统，与医院LIS系统对接，使医务人员可以随时调阅，可实现检验项目的多终端查询，包括网页端、手机端等，对紧急报告可提供口头报告或邮件报告等形式。</w:t>
            </w:r>
          </w:p>
          <w:p w14:paraId="0F573FE8">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（7）未经采购人同意，不得将采购人标本用于他用。</w:t>
            </w:r>
          </w:p>
          <w:p w14:paraId="015FDF49">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（8）投标人有为采购人保密的义务，未经同意不得向第三方泄露委托检验的项目、检验的内容、检验的结果。</w:t>
            </w:r>
          </w:p>
          <w:p w14:paraId="6113BF02">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（9）检测样本、检测数据的所有权、使用权为采购人所有，未经许可不得挪作他用。能够按照国家、按采购人要求妥善保存及销毁检验后样本。</w:t>
            </w:r>
          </w:p>
          <w:p w14:paraId="40401CD1">
            <w:pPr>
              <w:pStyle w:val="5"/>
              <w:adjustRightInd/>
              <w:spacing w:line="360" w:lineRule="auto"/>
              <w:ind w:firstLine="480" w:firstLineChars="200"/>
              <w:textAlignment w:val="auto"/>
              <w:rPr>
                <w:rFonts w:ascii="仿宋" w:hAnsi="仿宋" w:eastAsia="仿宋" w:cs="仿宋"/>
                <w:color w:val="000000" w:themeColor="text1"/>
                <w:kern w:val="2"/>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（10）投标人必须保证检验结果的公正性，不受任何诱使或压力的对检验结果进行修正及更改。</w:t>
            </w:r>
          </w:p>
          <w:p w14:paraId="22A50B6A">
            <w:pPr>
              <w:pStyle w:val="5"/>
              <w:adjustRightInd/>
              <w:spacing w:line="360" w:lineRule="auto"/>
              <w:ind w:firstLine="480" w:firstLineChars="200"/>
              <w:textAlignment w:val="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2"/>
                <w:sz w:val="24"/>
                <w:szCs w:val="24"/>
                <w14:textFill>
                  <w14:solidFill>
                    <w14:schemeClr w14:val="tx1"/>
                  </w14:solidFill>
                </w14:textFill>
              </w:rPr>
              <w:t>（11）投标人建立快速的客户服务反应机制，如有针对投标人或采购人与投标人双方的投诉或需处理的情况，投标人应派代表在半日内到达医院及时沟通处理；若主要针对采购人的投诉或需处理的情况，投标人有义务协助采购人及时沟通处理。</w:t>
            </w:r>
          </w:p>
          <w:p w14:paraId="5F8F9C59">
            <w:pPr>
              <w:pStyle w:val="6"/>
              <w:numPr>
                <w:ilvl w:val="255"/>
                <w:numId w:val="0"/>
              </w:numPr>
              <w:spacing w:line="360" w:lineRule="auto"/>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（三）病理、检验技术服务要求</w:t>
            </w:r>
          </w:p>
          <w:p w14:paraId="5751F664">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（1）外送检验项目包括但不限于：C-反应蛋白、肝功能、电解质、肾功能、葡萄糖、糖化血红蛋白、降钙素原、微生物检测、分子检测等采购人确认的项目。</w:t>
            </w:r>
          </w:p>
          <w:p w14:paraId="72A5F6EA">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（2）ABO血型、RhD血型等输血相关检测，原则上不纳入外送。确需外送的，必须经采购人书面同意，并符合临床用血相关管理要求。</w:t>
            </w:r>
          </w:p>
          <w:p w14:paraId="3A5A36BB">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（3）常规外送检验项目，自中标人接收标本起，原则上不超过24小时出具合格报告。具体项目以《检测项目手册》和合同约定为准。</w:t>
            </w:r>
          </w:p>
          <w:p w14:paraId="3B80ED92">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（4）微生物检测项目阳性报告，包括一级报告，应在36小时内回报，以加强感染病人管理。最终报告按项目规定时间出具。</w:t>
            </w:r>
          </w:p>
          <w:p w14:paraId="6B3F2AF5">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（5）中标人应对开展项目进行室内质控，定期进行质控分析，及时处理失控情况，保证检验结果质量。</w:t>
            </w:r>
          </w:p>
          <w:p w14:paraId="09A1857F">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（6）中标人应参加相应室间质评或能力验证，并保留记录。采购人有权查阅质评结果。</w:t>
            </w:r>
          </w:p>
          <w:p w14:paraId="06C6AE86">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（7）对采购人送检的合格标本，中标人应对检测结果负责。因中标人原因导致检测结果存在质量问题的，由中标人承担相应责任。</w:t>
            </w:r>
          </w:p>
          <w:p w14:paraId="68E5FB24">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如遇紧急疫情或采购人临床紧急需求，且采购人暂不具备设备、人员和技术条件，中标人在己方已开展项目范围内，可依法合规提供紧急检测支持。具体设备、人员、技术支持方式另行协商，并签订补充协议。</w:t>
            </w:r>
          </w:p>
          <w:p w14:paraId="16E82E57">
            <w:pPr>
              <w:pStyle w:val="6"/>
              <w:numPr>
                <w:ilvl w:val="255"/>
                <w:numId w:val="0"/>
              </w:numPr>
              <w:spacing w:line="360" w:lineRule="auto"/>
              <w:rPr>
                <w:rFonts w:ascii="仿宋" w:hAnsi="仿宋" w:eastAsia="仿宋" w:cs="仿宋"/>
                <w:sz w:val="24"/>
                <w:szCs w:val="24"/>
              </w:rPr>
            </w:pPr>
            <w:r>
              <w:rPr>
                <w:rFonts w:hint="eastAsia" w:ascii="仿宋" w:hAnsi="仿宋" w:eastAsia="仿宋" w:cs="仿宋"/>
                <w:b/>
                <w:bCs/>
                <w:color w:val="000000" w:themeColor="text1"/>
                <w:sz w:val="24"/>
                <w:szCs w:val="24"/>
                <w14:textFill>
                  <w14:solidFill>
                    <w14:schemeClr w14:val="tx1"/>
                  </w14:solidFill>
                </w14:textFill>
              </w:rPr>
              <w:t>（四）外送病理服务要求</w:t>
            </w:r>
          </w:p>
          <w:p w14:paraId="5ADF8BCC">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（1）小标本病理检查与诊断，自接收标本起，原则上不超过2—3个工作日出具合格报告。</w:t>
            </w:r>
          </w:p>
          <w:p w14:paraId="4E9C4053">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（2）特殊病理、免疫组化、分子病理等项目，按《检测项目手册》和合同约定时间出具报告。</w:t>
            </w:r>
          </w:p>
          <w:p w14:paraId="27F98D04">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（3）术中冰冻病理切片不纳入外送服务范围。 术中冰冻应由采购人院内病理科或另行设置的院内病理服务包完成。如中标人具备驻点病理服务能力，应单独报价、单独约定，原则上应在30分钟内出具冰冻报告。</w:t>
            </w:r>
          </w:p>
          <w:p w14:paraId="32BDD3F5">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（4）中标人应提供病理报告结构化服务，提高病理诊断质量，推进数智化病理服务体系建设，促进病理诊断报告规范化、标准化。</w:t>
            </w:r>
          </w:p>
          <w:p w14:paraId="7BB79427">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（5）病理标本、蜡块、切片、原始记录等保存和处置，应符合国家病理档案管理及生物安全规定。</w:t>
            </w:r>
          </w:p>
          <w:p w14:paraId="22D86E03">
            <w:pPr>
              <w:pStyle w:val="6"/>
              <w:spacing w:line="360" w:lineRule="auto"/>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（五）危急报送要求</w:t>
            </w:r>
          </w:p>
          <w:p w14:paraId="52E9D7A4">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（1）根据医院要求对制定危机数值管理办法，和危急值报告流程。</w:t>
            </w:r>
          </w:p>
          <w:p w14:paraId="75900C76">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（2）危急值联系时效性：应该在实验结果出现危急值第一时间电话和微信同步告知医院检验科临检人员。</w:t>
            </w:r>
          </w:p>
          <w:p w14:paraId="46211CDE">
            <w:pPr>
              <w:pStyle w:val="6"/>
              <w:spacing w:line="360" w:lineRule="auto"/>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（六）采购人的检查权限与机构的配合义务</w:t>
            </w:r>
          </w:p>
          <w:p w14:paraId="43640ECC">
            <w:pPr>
              <w:pStyle w:val="6"/>
              <w:spacing w:line="360" w:lineRule="auto"/>
              <w:ind w:left="425" w:hanging="425"/>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现场检查配合义务。中标检测机构须无条件配合采购人开展的各类现场检查，包括但不限于：实验室场地巡查、检测流程合规性核查、仪器设备状态核验、人员操作规范性检查、样品存储环境核查、试剂耗材管理核查。采购人有权随机选派本单位人员或外部专家进入检测实验室开展现场督查、飞行检查，中标机构不得拒绝、阻挠、拖延，不得隐瞒真实情况，不得事先安排、篡改现场状态。采购人提出现场检查要求时，中标机构须安排项目负责人及相关检测人员到场配合，如实答复问询。</w:t>
            </w:r>
          </w:p>
          <w:p w14:paraId="346E01E2">
            <w:pPr>
              <w:pStyle w:val="6"/>
              <w:spacing w:line="360" w:lineRule="auto"/>
              <w:ind w:left="425" w:hanging="425"/>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(2)检测记录与数据溯源要求</w:t>
            </w:r>
          </w:p>
          <w:p w14:paraId="70E0011E">
            <w:pPr>
              <w:pStyle w:val="6"/>
              <w:numPr>
                <w:ilvl w:val="255"/>
                <w:numId w:val="0"/>
              </w:numPr>
              <w:spacing w:line="360" w:lineRule="auto"/>
              <w:ind w:left="420" w:left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中标机构须对检测全流程进行真实、完整、可追溯的原始记录，涵盖样品接收登记、前处理、实验操作、仪器原始数据、结果计算、报告审核签发全环节。原始记录、仪器导出数据、试剂耗材凭证、人员培训记录等全部资料，保存期限不少于 6 年；采购人有权查阅、复制、封存任何与本项目相关的资料，中标机构须在 3 个工作日内完整提供，严禁篡改、隐匿、销毁检测记录。检测报告须可溯源至原始数据，采购人有权对异常数据、关键结果进行复核，中标机构须配合提供完整的计算过程与原始图谱 / 数据文件。</w:t>
            </w:r>
          </w:p>
          <w:p w14:paraId="5A88CC4A">
            <w:pPr>
              <w:pStyle w:val="6"/>
              <w:spacing w:line="360" w:lineRule="auto"/>
              <w:ind w:left="425" w:hanging="425"/>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(3)质量考核与验证要求</w:t>
            </w:r>
          </w:p>
          <w:p w14:paraId="4E13B021">
            <w:pPr>
              <w:pStyle w:val="6"/>
              <w:numPr>
                <w:ilvl w:val="255"/>
                <w:numId w:val="0"/>
              </w:numPr>
              <w:spacing w:line="360" w:lineRule="auto"/>
              <w:ind w:left="210" w:leftChars="100" w:firstLine="240" w:firstLineChars="1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采购人有权通过盲样考核、平行样比对、留样复测、加标回收等方式，对中标机构的检测质量进行不定期验证考核，中标机构须按要求完成检测并反馈结果。单次质量考核不合格的，中标机构须在采购人指定期限内完成整改并承担复检全部费用；连续 2 次考核不合格或出具虚假检测结果的，采购人有权单方终止合同，并追究违约责任。</w:t>
            </w:r>
          </w:p>
          <w:p w14:paraId="4AB67FAD">
            <w:pPr>
              <w:pStyle w:val="6"/>
              <w:spacing w:line="360" w:lineRule="auto"/>
              <w:ind w:left="425" w:hanging="425"/>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(4)行政监管配合要求</w:t>
            </w:r>
          </w:p>
          <w:p w14:paraId="191311C0">
            <w:pPr>
              <w:pStyle w:val="6"/>
              <w:numPr>
                <w:ilvl w:val="255"/>
                <w:numId w:val="0"/>
              </w:numPr>
              <w:spacing w:line="360" w:lineRule="auto"/>
              <w:ind w:left="420" w:left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中标机构须自觉接受市场监督管理局、行业主管部门等法定机构的监督检查、飞行检查、专项抽查，主动配合提供相关资料。若因中标机构自身违规导致检测结果无效、被监管部门处罚或产生法律责任，由中标机构承担全部责任，采购人有权解除合同并追索损失。</w:t>
            </w:r>
          </w:p>
          <w:p w14:paraId="66B70DDB">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（5）样本流转与处置核查</w:t>
            </w:r>
          </w:p>
          <w:p w14:paraId="650E1352">
            <w:pPr>
              <w:pStyle w:val="6"/>
              <w:numPr>
                <w:ilvl w:val="255"/>
                <w:numId w:val="0"/>
              </w:numPr>
              <w:spacing w:line="360" w:lineRule="auto"/>
              <w:ind w:left="420" w:left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中标机构须建立完整的样品接收、标识、存储、流转、废弃处置管理制度，确保每份标本全程可追溯。采购人有权对标本流转、剩余标本处置全流程进行核查；涉及生物安全的标本，须严格按规定处置并留存记录，接受生物安全专项检查。</w:t>
            </w:r>
          </w:p>
          <w:p w14:paraId="0186CA6E">
            <w:pPr>
              <w:pStyle w:val="6"/>
              <w:numPr>
                <w:ilvl w:val="255"/>
                <w:numId w:val="0"/>
              </w:numPr>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（6）其他约束</w:t>
            </w:r>
          </w:p>
          <w:p w14:paraId="7DD9C32E">
            <w:pPr>
              <w:pStyle w:val="6"/>
              <w:numPr>
                <w:ilvl w:val="255"/>
                <w:numId w:val="0"/>
              </w:numPr>
              <w:spacing w:line="360" w:lineRule="auto"/>
              <w:ind w:left="420" w:left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中标机构不得将本项目检测任务转包、分包给其他机构；一经发现，采购人有权立即终止合同，不予支付检测费用，并追究违约责任。</w:t>
            </w:r>
          </w:p>
          <w:p w14:paraId="20247DEB">
            <w:pPr>
              <w:pStyle w:val="6"/>
              <w:numPr>
                <w:ilvl w:val="255"/>
                <w:numId w:val="0"/>
              </w:numPr>
              <w:spacing w:line="360" w:lineRule="auto"/>
              <w:ind w:left="420" w:left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中标机构资质在合同期内发生变更、失效或被处罚的，须第一时间书面告知采购人；无法继续满足检测资质要求的，采购人有权终止合同。</w:t>
            </w:r>
          </w:p>
          <w:p w14:paraId="72AA8C33">
            <w:pPr>
              <w:pStyle w:val="6"/>
              <w:numPr>
                <w:ilvl w:val="255"/>
                <w:numId w:val="0"/>
              </w:numPr>
              <w:spacing w:line="360" w:lineRule="auto"/>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（七）科研技术服务要求</w:t>
            </w:r>
          </w:p>
          <w:p w14:paraId="06094E65">
            <w:pPr>
              <w:pStyle w:val="6"/>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在采购单位需要建设临床重点实验室时，协助医院联系国内外医疗资源。提供专家共享、科研支持等服务；不定期组织专家参与科室、院内会议，协助院医生完成相关的课题科研学术研究、提升医院科研水平。</w:t>
            </w:r>
          </w:p>
          <w:p w14:paraId="20ADADED">
            <w:pPr>
              <w:pStyle w:val="6"/>
              <w:spacing w:line="36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（2）在采购单位的授权下协助医院开展临床科研工作，根据临床科研不同的项目开展的不同的研究检测时，提供优惠的科研检测收费。</w:t>
            </w:r>
          </w:p>
        </w:tc>
      </w:tr>
      <w:bookmarkEnd w:id="2"/>
      <w:tr w14:paraId="56D2E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76" w:hRule="atLeast"/>
          <w:tblCellSpacing w:w="0" w:type="dxa"/>
          <w:jc w:val="center"/>
        </w:trPr>
        <w:tc>
          <w:tcPr>
            <w:tcW w:w="576" w:type="pct"/>
            <w:vAlign w:val="center"/>
          </w:tcPr>
          <w:p w14:paraId="494FEA8F">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★商务需求</w:t>
            </w:r>
          </w:p>
        </w:tc>
        <w:tc>
          <w:tcPr>
            <w:tcW w:w="4423" w:type="pct"/>
            <w:gridSpan w:val="3"/>
            <w:vAlign w:val="center"/>
          </w:tcPr>
          <w:p w14:paraId="20823388">
            <w:pPr>
              <w:ind w:firstLine="401"/>
              <w:rPr>
                <w:rFonts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1.服务期限：</w:t>
            </w:r>
          </w:p>
          <w:p w14:paraId="0450AD9B">
            <w:pPr>
              <w:ind w:firstLine="480"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项目服务期限为一年，具体以合同签订日期为准。合同期满后，采购单位可根据《深圳经济特区政府采购条例》第三十八条的规定，结合对中标供应商的考核情况决定是否续签，合同履行期限累计不超过36个月。</w:t>
            </w:r>
          </w:p>
          <w:p w14:paraId="1473DF39">
            <w:pPr>
              <w:ind w:firstLine="482" w:firstLineChars="200"/>
              <w:rPr>
                <w:rFonts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2.关于验收：</w:t>
            </w:r>
          </w:p>
          <w:p w14:paraId="6E8D5ABF">
            <w:pPr>
              <w:spacing w:line="360" w:lineRule="auto"/>
              <w:ind w:firstLine="480"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（1）验收程序：每个自然月终了后，中标人应就上一个月为采购人提供的服务向采购人提出验收申请，对于中标人的服务符合相关约定的，采购人方可向中标人签发服务验收合格证明。</w:t>
            </w:r>
          </w:p>
          <w:p w14:paraId="028DD169">
            <w:pPr>
              <w:spacing w:line="360" w:lineRule="auto"/>
              <w:ind w:firstLine="480"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验收标准：有关技术要求和参数的相关约定、本项目的招标文件要求、中标人投标文件响应内容，以及相关的国家标准均构成项目验收的标准，且采购人有权选择其中较高的标准作为本项目的验收标准。若发现中标人交付的项目成果与验收标准不符时，采购人将拒绝签收。其中：</w:t>
            </w:r>
          </w:p>
          <w:p w14:paraId="58970F00">
            <w:pPr>
              <w:spacing w:line="360" w:lineRule="auto"/>
              <w:ind w:firstLine="480"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①月度报告准确率应大于【99.99%】（不含）。即中标人应按国家检验检测规范进行操作，使用合法的医疗器械开展检验检测服务，并对检验检测报告的真实性、准确性负责。中标人交付采购人的检测数据、报告的准确率应大于【99.99%】（不含）。报告准确率=当月准确的报告数÷当月送检样本总数。</w:t>
            </w:r>
          </w:p>
          <w:p w14:paraId="0E86C7FF">
            <w:pPr>
              <w:spacing w:line="360" w:lineRule="auto"/>
              <w:ind w:firstLine="480"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②报告延迟率不得超过【1%】（不含）。报告延迟率=当月迟延报告数÷当月送检样本总数。延迟报告指出具临床检测报告的时限超过双方确认的时限。特别紧急的情况下，中标人应按采购人要求的时限出具报告。</w:t>
            </w:r>
          </w:p>
          <w:p w14:paraId="38CBECA1">
            <w:pPr>
              <w:spacing w:line="360" w:lineRule="auto"/>
              <w:ind w:firstLine="480" w:firstLineChars="200"/>
              <w:rPr>
                <w:rFonts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3、采购人签署的服务验收证明文件是向中标人支付服务费的凭证之一。</w:t>
            </w:r>
          </w:p>
          <w:p w14:paraId="0E29055C">
            <w:pPr>
              <w:spacing w:line="360" w:lineRule="auto"/>
              <w:ind w:firstLine="482" w:firstLineChars="200"/>
              <w:jc w:val="left"/>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3.</w:t>
            </w:r>
            <w:r>
              <w:rPr>
                <w:rFonts w:hint="eastAsia" w:ascii="仿宋" w:hAnsi="仿宋" w:eastAsia="仿宋" w:cs="仿宋"/>
                <w:b/>
                <w:bCs/>
                <w:color w:val="000000" w:themeColor="text1"/>
                <w:sz w:val="24"/>
                <w:szCs w:val="24"/>
                <w:lang w:val="en-US" w:eastAsia="zh-CN"/>
                <w14:textFill>
                  <w14:solidFill>
                    <w14:schemeClr w14:val="tx1"/>
                  </w14:solidFill>
                </w14:textFill>
              </w:rPr>
              <w:t>市场调研</w:t>
            </w:r>
            <w:r>
              <w:rPr>
                <w:rFonts w:hint="eastAsia" w:ascii="仿宋" w:hAnsi="仿宋" w:eastAsia="仿宋" w:cs="仿宋"/>
                <w:b/>
                <w:bCs/>
                <w:color w:val="000000" w:themeColor="text1"/>
                <w:sz w:val="24"/>
                <w:szCs w:val="24"/>
                <w14:textFill>
                  <w14:solidFill>
                    <w14:schemeClr w14:val="tx1"/>
                  </w14:solidFill>
                </w14:textFill>
              </w:rPr>
              <w:t>报价要求：</w:t>
            </w:r>
          </w:p>
          <w:p w14:paraId="3D26A56F">
            <w:pPr>
              <w:ind w:firstLine="482" w:firstLineChars="200"/>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1）本项目</w:t>
            </w:r>
            <w:r>
              <w:rPr>
                <w:rFonts w:hint="eastAsia" w:ascii="仿宋" w:hAnsi="仿宋" w:eastAsia="仿宋" w:cs="仿宋"/>
                <w:b/>
                <w:bCs/>
                <w:color w:val="000000" w:themeColor="text1"/>
                <w:sz w:val="24"/>
                <w:szCs w:val="24"/>
                <w:lang w:val="en-US" w:eastAsia="zh-CN"/>
                <w14:textFill>
                  <w14:solidFill>
                    <w14:schemeClr w14:val="tx1"/>
                  </w14:solidFill>
                </w14:textFill>
              </w:rPr>
              <w:t>报价</w:t>
            </w:r>
            <w:r>
              <w:rPr>
                <w:rFonts w:hint="eastAsia" w:ascii="仿宋" w:hAnsi="仿宋" w:eastAsia="仿宋" w:cs="仿宋"/>
                <w:b/>
                <w:bCs/>
                <w:color w:val="000000" w:themeColor="text1"/>
                <w:sz w:val="24"/>
                <w:szCs w:val="24"/>
                <w14:textFill>
                  <w14:solidFill>
                    <w14:schemeClr w14:val="tx1"/>
                  </w14:solidFill>
                </w14:textFill>
              </w:rPr>
              <w:t>为费率（折扣率），即采购人支付给中标人的金额：</w:t>
            </w:r>
            <w:r>
              <w:rPr>
                <w:rFonts w:hint="eastAsia" w:ascii="仿宋" w:hAnsi="仿宋" w:eastAsia="仿宋" w:cs="仿宋"/>
                <w:color w:val="000000" w:themeColor="text1"/>
                <w:sz w:val="24"/>
                <w:szCs w:val="24"/>
                <w14:textFill>
                  <w14:solidFill>
                    <w14:schemeClr w14:val="tx1"/>
                  </w14:solidFill>
                </w14:textFill>
              </w:rPr>
              <w:t>投标人应以《深圳市基本医疗服务价格项目目录》（以执行期间的最新版本为准）公布的各项目收费标准作为基准价</w:t>
            </w:r>
            <w:r>
              <w:rPr>
                <w:rFonts w:hint="eastAsia" w:ascii="仿宋" w:hAnsi="仿宋" w:eastAsia="仿宋" w:cs="仿宋"/>
                <w:b/>
                <w:bCs/>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对本项目所有检验内容提供统一的投标折扣率进行报价，报价应包括各种人力成本、货物成本、资料费、服务费、税费、物流服务、标本采集试管、保存装置及合同实施过程中的所有费用。</w:t>
            </w:r>
          </w:p>
          <w:p w14:paraId="45D90D54">
            <w:pPr>
              <w:spacing w:line="360" w:lineRule="auto"/>
              <w:ind w:firstLine="482" w:firstLineChars="200"/>
              <w:jc w:val="left"/>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注：收费标准参照深圳市现行的基本医疗服务价格项目目录，如收费标准发生变化时，按照上级部门新颁发文件的收费标准执行。</w:t>
            </w:r>
            <w:r>
              <w:rPr>
                <w:rFonts w:hint="eastAsia" w:ascii="仿宋" w:hAnsi="仿宋" w:eastAsia="仿宋" w:cs="仿宋"/>
                <w:color w:val="000000" w:themeColor="text1"/>
                <w:sz w:val="24"/>
                <w:szCs w:val="24"/>
                <w14:textFill>
                  <w14:solidFill>
                    <w14:schemeClr w14:val="tx1"/>
                  </w14:solidFill>
                </w14:textFill>
              </w:rPr>
              <w:t>0&lt;投标折扣率≤0.4，投标折扣率应为小数，最多保留两位小数（比如，0.38符合要求，0.389不符合要求），否则作投标无效处理。</w:t>
            </w:r>
          </w:p>
          <w:p w14:paraId="25A1B0F5">
            <w:pPr>
              <w:ind w:firstLine="482"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5.付款方式：</w:t>
            </w:r>
            <w:r>
              <w:rPr>
                <w:rFonts w:hint="eastAsia" w:ascii="仿宋" w:hAnsi="仿宋" w:eastAsia="仿宋" w:cs="仿宋"/>
                <w:color w:val="000000" w:themeColor="text1"/>
                <w:sz w:val="24"/>
                <w:szCs w:val="24"/>
                <w14:textFill>
                  <w14:solidFill>
                    <w14:schemeClr w14:val="tx1"/>
                  </w14:solidFill>
                </w14:textFill>
              </w:rPr>
              <w:t>按月结算，本月结算上月服务金额。中标人于每月5日前提供上月送检数量结算明细清单交到给采购人处，采购人收到资料审核无误后通知中标人开具发票，采购人收到发票后10个工作日内转账支付服务费用。</w:t>
            </w:r>
          </w:p>
          <w:p w14:paraId="104A945E">
            <w:pPr>
              <w:ind w:firstLine="480"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各项目中标结算单价=各项目收费标准（基准价）×中标人的投标折扣率。</w:t>
            </w:r>
          </w:p>
          <w:p w14:paraId="23FFA1A5">
            <w:pPr>
              <w:ind w:firstLine="480"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每月的结算金额=Σ（对应项目的采购服务数量×对应项目的中标结算单价）。</w:t>
            </w:r>
          </w:p>
          <w:p w14:paraId="03A2B90F">
            <w:pPr>
              <w:spacing w:line="360" w:lineRule="auto"/>
              <w:ind w:firstLine="480" w:firstLineChars="200"/>
              <w:jc w:val="left"/>
              <w:rPr>
                <w:rFonts w:ascii="仿宋" w:hAnsi="仿宋" w:eastAsia="仿宋" w:cs="仿宋"/>
                <w:color w:val="000000" w:themeColor="text1"/>
                <w:sz w:val="24"/>
                <w:szCs w:val="24"/>
                <w14:textFill>
                  <w14:solidFill>
                    <w14:schemeClr w14:val="tx1"/>
                  </w14:solidFill>
                </w14:textFill>
              </w:rPr>
            </w:pPr>
          </w:p>
        </w:tc>
      </w:tr>
    </w:tbl>
    <w:p w14:paraId="59C9ACDF">
      <w:pPr>
        <w:rPr>
          <w:rFonts w:ascii="宋体" w:hAnsi="宋体" w:eastAsia="宋体" w:cs="宋体"/>
          <w:b/>
          <w:sz w:val="36"/>
          <w:szCs w:val="36"/>
        </w:rPr>
      </w:pPr>
      <w:r>
        <w:rPr>
          <w:rFonts w:hint="eastAsia" w:ascii="宋体" w:hAnsi="宋体" w:eastAsia="宋体" w:cs="宋体"/>
          <w:b/>
          <w:sz w:val="36"/>
          <w:szCs w:val="36"/>
        </w:rPr>
        <w:br w:type="page"/>
      </w:r>
    </w:p>
    <w:p w14:paraId="2BA8C618">
      <w:pPr>
        <w:keepNext/>
        <w:keepLines/>
        <w:spacing w:before="260" w:after="260" w:line="360" w:lineRule="auto"/>
        <w:ind w:firstLine="687"/>
        <w:jc w:val="center"/>
        <w:outlineLvl w:val="2"/>
        <w:rPr>
          <w:rFonts w:ascii="宋体" w:hAnsi="宋体" w:eastAsia="宋体" w:cs="宋体"/>
          <w:b/>
          <w:sz w:val="36"/>
          <w:szCs w:val="36"/>
        </w:rPr>
      </w:pPr>
      <w:r>
        <w:rPr>
          <w:rFonts w:hint="eastAsia" w:ascii="宋体" w:hAnsi="宋体" w:eastAsia="宋体" w:cs="宋体"/>
          <w:b/>
          <w:sz w:val="36"/>
          <w:szCs w:val="36"/>
        </w:rPr>
        <w:t>政府采购投标及履约承诺函</w:t>
      </w:r>
    </w:p>
    <w:p w14:paraId="04C45B9E">
      <w:pPr>
        <w:spacing w:line="360" w:lineRule="auto"/>
        <w:ind w:firstLine="401"/>
        <w:rPr>
          <w:rFonts w:ascii="宋体" w:hAnsi="宋体" w:eastAsia="宋体" w:cs="宋体"/>
          <w:b/>
          <w:bCs/>
        </w:rPr>
      </w:pPr>
      <w:r>
        <w:rPr>
          <w:rFonts w:hint="eastAsia" w:ascii="宋体" w:hAnsi="宋体" w:eastAsia="宋体" w:cs="宋体"/>
          <w:b/>
          <w:bCs/>
        </w:rPr>
        <w:t>致：南方医科大学深圳口腔医院（坪山）</w:t>
      </w:r>
    </w:p>
    <w:p w14:paraId="7BFB6827">
      <w:pPr>
        <w:spacing w:line="360" w:lineRule="auto"/>
        <w:rPr>
          <w:rFonts w:ascii="宋体" w:hAnsi="宋体" w:eastAsia="宋体" w:cs="Times New Roman"/>
          <w:szCs w:val="21"/>
        </w:rPr>
      </w:pPr>
      <w:r>
        <w:rPr>
          <w:rFonts w:hint="eastAsia" w:ascii="宋体" w:hAnsi="宋体" w:eastAsia="宋体" w:cs="Times New Roman"/>
          <w:szCs w:val="21"/>
        </w:rPr>
        <w:t xml:space="preserve"> 我单位承诺：</w:t>
      </w:r>
    </w:p>
    <w:p w14:paraId="76D7A35D">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1.我单位参与本项目所投标（响应）的货物、工程或服务，不存在侵犯知识产权的情况。</w:t>
      </w:r>
    </w:p>
    <w:p w14:paraId="49A32916">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2.我单位参与本项目政府采购活动时不存在被有关部门禁止参与政府采购活动且在有效期内的情况。</w:t>
      </w:r>
    </w:p>
    <w:p w14:paraId="136C060A">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3.我单位具备《中华人民共和国政府采购法》第二十二条第一款的条件。</w:t>
      </w:r>
    </w:p>
    <w:p w14:paraId="32306754">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4.我单位未被列入失信被执行人、重大税收违法案件当事人名单、政府采购严重违法失信行为记录名单。</w:t>
      </w:r>
    </w:p>
    <w:p w14:paraId="05F8D61D">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5.我单位不存在《深圳市财政局政府采购供应商信用信息管理办法》（深财规〔2023〕3号）列明的严重违法失信行为。</w:t>
      </w:r>
    </w:p>
    <w:p w14:paraId="363ACCC9">
      <w:pPr>
        <w:spacing w:line="360" w:lineRule="auto"/>
        <w:ind w:firstLine="420" w:firstLineChars="200"/>
      </w:pPr>
      <w:r>
        <w:rPr>
          <w:rFonts w:hint="eastAsia" w:ascii="宋体" w:hAnsi="宋体" w:eastAsia="宋体" w:cs="宋体"/>
        </w:rPr>
        <w:t>6.我单位及法定代表人参与政府采购项目投标近三年内（投标人成立不足三年的可从成立之日起算）在经营活动中没有重大违法记录；参与本项目投标前三年内（投标人成立不足三年的可从成立之日起算），无行贿犯罪记录。</w:t>
      </w:r>
    </w:p>
    <w:p w14:paraId="08CF01FB">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7.</w:t>
      </w:r>
      <w:bookmarkStart w:id="3" w:name="_Hlk72587269"/>
      <w:bookmarkStart w:id="4" w:name="_Hlk72587299"/>
      <w:r>
        <w:rPr>
          <w:rFonts w:hint="eastAsia" w:ascii="宋体" w:hAnsi="宋体" w:eastAsia="宋体" w:cs="Times New Roman"/>
          <w:szCs w:val="21"/>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bookmarkEnd w:id="3"/>
      <w:r>
        <w:rPr>
          <w:rFonts w:hint="eastAsia" w:ascii="宋体" w:hAnsi="宋体" w:eastAsia="宋体" w:cs="Times New Roman"/>
          <w:szCs w:val="21"/>
        </w:rPr>
        <w:t>。</w:t>
      </w:r>
    </w:p>
    <w:bookmarkEnd w:id="4"/>
    <w:p w14:paraId="088BAE30">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71A61D29">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0CB990CE">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做出的行政处罚。</w:t>
      </w:r>
    </w:p>
    <w:p w14:paraId="45F4D952">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10.我单位承诺中标后项目不转包，未经采购人同意不进行分包。</w:t>
      </w:r>
    </w:p>
    <w:p w14:paraId="5D41F841">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46DDAACF">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12.我单位保证，若所投货物涉及《财政部生态环境部关于印发节能产品政府采购品目清单的通知》（财库〔2019〕19号）列明的政府采购强制产品，则所投该产品符合节能产品的认证要求。若所投产品包括数据中心相关设备的，应满足《财政部 生态环境部 工业和信息化部关于印发&lt;绿色数据中心政府采购需求标准（试行）&gt;的通知》（财库〔2023〕7号）要求。若所投产品涉及国家强制性标准的，所投产品应符合国家强制性标准相关要求。</w:t>
      </w:r>
    </w:p>
    <w:p w14:paraId="40EE8ED5">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13.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1AEA4DBC">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14.我单位清楚，如存在违反投标承诺行为情节严重的，将根据《深圳市财政局关于印发&lt;深圳市财政局政府采购供应商信用信息管理办法&gt;的通知》，依法被列入失信信息。</w:t>
      </w:r>
    </w:p>
    <w:p w14:paraId="29B4DC4C">
      <w:pPr>
        <w:spacing w:line="360" w:lineRule="auto"/>
        <w:ind w:firstLine="420" w:firstLineChars="200"/>
      </w:pPr>
      <w:r>
        <w:rPr>
          <w:rFonts w:hint="eastAsia" w:ascii="宋体" w:hAnsi="宋体" w:eastAsia="宋体" w:cs="宋体"/>
        </w:rPr>
        <w:t>15.我单位承诺投标文件中提供的检测报告载明的检测事项未超出该检测机构被合规认定的检测范围。如存在提供的检测报告检测事项超出机构检测范围的，评审委员会有权作扣分处理，如对应条款为实质性要求的，则评审委员会有权作无效投标处理。</w:t>
      </w:r>
    </w:p>
    <w:p w14:paraId="1A740F87">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16.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71845F31">
      <w:pPr>
        <w:spacing w:line="360" w:lineRule="auto"/>
        <w:rPr>
          <w:rFonts w:ascii="宋体" w:hAnsi="宋体"/>
          <w:szCs w:val="21"/>
        </w:rPr>
      </w:pPr>
    </w:p>
    <w:p w14:paraId="7E44E0FE">
      <w:pPr>
        <w:spacing w:line="360" w:lineRule="auto"/>
        <w:ind w:firstLine="420" w:firstLineChars="200"/>
        <w:rPr>
          <w:rFonts w:ascii="宋体" w:hAnsi="宋体"/>
          <w:szCs w:val="21"/>
        </w:rPr>
      </w:pPr>
      <w:r>
        <w:rPr>
          <w:rFonts w:hint="eastAsia" w:ascii="宋体" w:hAnsi="宋体"/>
          <w:szCs w:val="21"/>
        </w:rPr>
        <w:t>以上承诺，如有违反，愿依照国家相关法律处理，并承担由此给采购人带来的损失。</w:t>
      </w:r>
    </w:p>
    <w:p w14:paraId="33787CC4">
      <w:pPr>
        <w:spacing w:line="360" w:lineRule="auto"/>
        <w:ind w:firstLine="420" w:firstLineChars="200"/>
        <w:jc w:val="right"/>
        <w:rPr>
          <w:rFonts w:ascii="宋体" w:hAnsi="宋体"/>
          <w:szCs w:val="21"/>
        </w:rPr>
      </w:pPr>
      <w:r>
        <w:rPr>
          <w:rFonts w:hint="eastAsia" w:ascii="宋体" w:hAnsi="宋体"/>
          <w:szCs w:val="21"/>
        </w:rPr>
        <w:t>投标人（盖公章）：</w:t>
      </w:r>
    </w:p>
    <w:p w14:paraId="305734DC">
      <w:pPr>
        <w:spacing w:line="360" w:lineRule="auto"/>
        <w:ind w:firstLine="420" w:firstLineChars="200"/>
        <w:jc w:val="right"/>
        <w:rPr>
          <w:rFonts w:ascii="宋体" w:hAnsi="宋体"/>
          <w:szCs w:val="21"/>
          <w:u w:val="single"/>
        </w:rPr>
      </w:pPr>
      <w:r>
        <w:rPr>
          <w:rFonts w:hint="eastAsia" w:ascii="宋体" w:hAnsi="宋体"/>
          <w:szCs w:val="21"/>
        </w:rPr>
        <w:t>法人代表或被授权人签字：</w:t>
      </w:r>
    </w:p>
    <w:p w14:paraId="1C93A49B">
      <w:pPr>
        <w:wordWrap w:val="0"/>
        <w:spacing w:line="360" w:lineRule="auto"/>
        <w:ind w:firstLine="420" w:firstLineChars="200"/>
        <w:jc w:val="right"/>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71E8920">
      <w:r>
        <w:br w:type="page"/>
      </w:r>
    </w:p>
    <w:p w14:paraId="197F8105">
      <w:pPr>
        <w:keepNext/>
        <w:keepLines/>
        <w:spacing w:before="120" w:after="120" w:line="360" w:lineRule="auto"/>
        <w:ind w:firstLine="687"/>
        <w:jc w:val="center"/>
        <w:outlineLvl w:val="2"/>
        <w:rPr>
          <w:rFonts w:ascii="宋体" w:hAnsi="宋体" w:eastAsia="宋体" w:cs="宋体"/>
          <w:b/>
          <w:sz w:val="36"/>
          <w:szCs w:val="36"/>
        </w:rPr>
      </w:pPr>
      <w:r>
        <w:rPr>
          <w:rFonts w:hint="eastAsia" w:ascii="宋体" w:hAnsi="宋体" w:eastAsia="宋体" w:cs="宋体"/>
          <w:b/>
          <w:sz w:val="36"/>
          <w:szCs w:val="36"/>
        </w:rPr>
        <w:t>供应商基本情况表</w:t>
      </w:r>
    </w:p>
    <w:p w14:paraId="4B8561FA">
      <w:pPr>
        <w:spacing w:line="360" w:lineRule="auto"/>
        <w:rPr>
          <w:rFonts w:ascii="宋体" w:hAnsi="宋体" w:eastAsia="宋体" w:cs="宋体"/>
          <w:bCs/>
        </w:rPr>
      </w:pPr>
      <w:r>
        <w:rPr>
          <w:rFonts w:hint="eastAsia" w:ascii="宋体" w:hAnsi="宋体" w:eastAsia="宋体" w:cs="宋体"/>
        </w:rPr>
        <w:t>填表单位：（加盖单位公章）</w:t>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 xml:space="preserve">    填表日期：    年   月   日</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59"/>
        <w:gridCol w:w="1399"/>
        <w:gridCol w:w="907"/>
        <w:gridCol w:w="752"/>
        <w:gridCol w:w="1254"/>
        <w:gridCol w:w="1317"/>
        <w:gridCol w:w="1416"/>
      </w:tblGrid>
      <w:tr w14:paraId="0AFE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8" w:type="dxa"/>
            <w:gridSpan w:val="2"/>
            <w:vAlign w:val="center"/>
          </w:tcPr>
          <w:p w14:paraId="570C8065">
            <w:pPr>
              <w:jc w:val="center"/>
              <w:rPr>
                <w:rFonts w:ascii="宋体" w:hAnsi="宋体" w:eastAsia="宋体" w:cs="宋体"/>
              </w:rPr>
            </w:pPr>
            <w:r>
              <w:rPr>
                <w:rFonts w:hint="eastAsia" w:ascii="宋体" w:hAnsi="宋体" w:eastAsia="宋体" w:cs="宋体"/>
              </w:rPr>
              <w:t>采购人</w:t>
            </w:r>
          </w:p>
        </w:tc>
        <w:tc>
          <w:tcPr>
            <w:tcW w:w="2308" w:type="dxa"/>
            <w:gridSpan w:val="2"/>
            <w:vAlign w:val="center"/>
          </w:tcPr>
          <w:p w14:paraId="15A694F6">
            <w:pPr>
              <w:jc w:val="center"/>
              <w:rPr>
                <w:rFonts w:ascii="宋体" w:hAnsi="宋体" w:eastAsia="宋体" w:cs="宋体"/>
              </w:rPr>
            </w:pPr>
            <w:r>
              <w:rPr>
                <w:rFonts w:hint="eastAsia" w:ascii="宋体" w:hAnsi="宋体" w:eastAsia="宋体" w:cs="宋体"/>
              </w:rPr>
              <w:t>南方医科大学深圳口腔医院（坪山）</w:t>
            </w:r>
          </w:p>
        </w:tc>
        <w:tc>
          <w:tcPr>
            <w:tcW w:w="2008" w:type="dxa"/>
            <w:gridSpan w:val="2"/>
            <w:vAlign w:val="center"/>
          </w:tcPr>
          <w:p w14:paraId="32AD54EB">
            <w:pPr>
              <w:jc w:val="center"/>
              <w:rPr>
                <w:rFonts w:ascii="宋体" w:hAnsi="宋体" w:eastAsia="宋体" w:cs="宋体"/>
              </w:rPr>
            </w:pPr>
            <w:r>
              <w:rPr>
                <w:rFonts w:hint="eastAsia" w:ascii="宋体" w:hAnsi="宋体" w:eastAsia="宋体" w:cs="宋体"/>
              </w:rPr>
              <w:t>项目名称</w:t>
            </w:r>
          </w:p>
        </w:tc>
        <w:tc>
          <w:tcPr>
            <w:tcW w:w="2735" w:type="dxa"/>
            <w:gridSpan w:val="2"/>
            <w:vAlign w:val="center"/>
          </w:tcPr>
          <w:p w14:paraId="3E9F9403">
            <w:pPr>
              <w:jc w:val="center"/>
              <w:rPr>
                <w:rFonts w:ascii="宋体" w:hAnsi="宋体" w:eastAsia="宋体" w:cs="宋体"/>
              </w:rPr>
            </w:pPr>
          </w:p>
        </w:tc>
      </w:tr>
      <w:tr w14:paraId="4E66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8" w:type="dxa"/>
            <w:gridSpan w:val="2"/>
            <w:shd w:val="clear" w:color="auto" w:fill="auto"/>
            <w:vAlign w:val="center"/>
          </w:tcPr>
          <w:p w14:paraId="4F2CF405">
            <w:pPr>
              <w:jc w:val="center"/>
              <w:rPr>
                <w:rFonts w:ascii="宋体" w:hAnsi="宋体" w:eastAsia="宋体" w:cs="宋体"/>
              </w:rPr>
            </w:pPr>
            <w:r>
              <w:rPr>
                <w:rFonts w:hint="eastAsia" w:ascii="宋体" w:hAnsi="宋体" w:eastAsia="宋体" w:cs="宋体"/>
              </w:rPr>
              <w:t>投标（响应）供应商</w:t>
            </w:r>
          </w:p>
        </w:tc>
        <w:tc>
          <w:tcPr>
            <w:tcW w:w="2308" w:type="dxa"/>
            <w:gridSpan w:val="2"/>
            <w:shd w:val="clear" w:color="auto" w:fill="auto"/>
            <w:vAlign w:val="center"/>
          </w:tcPr>
          <w:p w14:paraId="0A9A526A">
            <w:pPr>
              <w:jc w:val="center"/>
              <w:rPr>
                <w:rFonts w:ascii="宋体" w:hAnsi="宋体" w:eastAsia="宋体" w:cs="宋体"/>
              </w:rPr>
            </w:pPr>
          </w:p>
        </w:tc>
        <w:tc>
          <w:tcPr>
            <w:tcW w:w="2008" w:type="dxa"/>
            <w:gridSpan w:val="2"/>
            <w:shd w:val="clear" w:color="auto" w:fill="auto"/>
            <w:vAlign w:val="center"/>
          </w:tcPr>
          <w:p w14:paraId="5D5863E1">
            <w:pPr>
              <w:jc w:val="center"/>
              <w:rPr>
                <w:rFonts w:ascii="宋体" w:hAnsi="宋体" w:eastAsia="宋体" w:cs="宋体"/>
              </w:rPr>
            </w:pPr>
            <w:r>
              <w:rPr>
                <w:rFonts w:hint="eastAsia" w:ascii="宋体" w:hAnsi="宋体" w:eastAsia="宋体" w:cs="宋体"/>
              </w:rPr>
              <w:t>供应商统一社会信用代码</w:t>
            </w:r>
          </w:p>
        </w:tc>
        <w:tc>
          <w:tcPr>
            <w:tcW w:w="2735" w:type="dxa"/>
            <w:gridSpan w:val="2"/>
            <w:vAlign w:val="center"/>
          </w:tcPr>
          <w:p w14:paraId="22FC917F">
            <w:pPr>
              <w:jc w:val="center"/>
              <w:rPr>
                <w:rFonts w:ascii="宋体" w:hAnsi="宋体" w:eastAsia="宋体" w:cs="宋体"/>
              </w:rPr>
            </w:pPr>
          </w:p>
        </w:tc>
      </w:tr>
      <w:tr w14:paraId="5A44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gridSpan w:val="8"/>
            <w:vAlign w:val="center"/>
          </w:tcPr>
          <w:p w14:paraId="4C184611">
            <w:pPr>
              <w:jc w:val="center"/>
              <w:rPr>
                <w:rFonts w:ascii="宋体" w:hAnsi="宋体" w:eastAsia="宋体" w:cs="宋体"/>
              </w:rPr>
            </w:pPr>
            <w:r>
              <w:rPr>
                <w:rFonts w:hint="eastAsia" w:ascii="宋体" w:hAnsi="宋体" w:eastAsia="宋体" w:cs="宋体"/>
              </w:rPr>
              <w:t>投标（响应）供应商相关人员情况</w:t>
            </w:r>
          </w:p>
        </w:tc>
      </w:tr>
      <w:tr w14:paraId="0CF6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bottom w:val="single" w:color="auto" w:sz="4" w:space="0"/>
            </w:tcBorders>
            <w:vAlign w:val="center"/>
          </w:tcPr>
          <w:p w14:paraId="1CB77870">
            <w:pPr>
              <w:jc w:val="center"/>
              <w:rPr>
                <w:rFonts w:ascii="宋体" w:hAnsi="宋体" w:eastAsia="宋体" w:cs="宋体"/>
              </w:rPr>
            </w:pPr>
            <w:r>
              <w:rPr>
                <w:rFonts w:hint="eastAsia" w:ascii="宋体" w:hAnsi="宋体" w:eastAsia="宋体" w:cs="宋体"/>
              </w:rPr>
              <w:t>序号</w:t>
            </w:r>
          </w:p>
        </w:tc>
        <w:tc>
          <w:tcPr>
            <w:tcW w:w="2160" w:type="dxa"/>
            <w:gridSpan w:val="2"/>
            <w:tcBorders>
              <w:bottom w:val="single" w:color="auto" w:sz="4" w:space="0"/>
            </w:tcBorders>
            <w:vAlign w:val="center"/>
          </w:tcPr>
          <w:p w14:paraId="45942FE3">
            <w:pPr>
              <w:jc w:val="center"/>
              <w:rPr>
                <w:rFonts w:ascii="宋体" w:hAnsi="宋体" w:eastAsia="宋体" w:cs="宋体"/>
              </w:rPr>
            </w:pPr>
            <w:r>
              <w:rPr>
                <w:rFonts w:hint="eastAsia" w:ascii="宋体" w:hAnsi="宋体" w:eastAsia="宋体" w:cs="宋体"/>
              </w:rPr>
              <w:t>职务</w:t>
            </w:r>
          </w:p>
        </w:tc>
        <w:tc>
          <w:tcPr>
            <w:tcW w:w="908" w:type="dxa"/>
            <w:tcBorders>
              <w:bottom w:val="single" w:color="auto" w:sz="4" w:space="0"/>
            </w:tcBorders>
            <w:vAlign w:val="center"/>
          </w:tcPr>
          <w:p w14:paraId="60FDF114">
            <w:pPr>
              <w:jc w:val="center"/>
              <w:rPr>
                <w:rFonts w:ascii="宋体" w:hAnsi="宋体" w:eastAsia="宋体" w:cs="宋体"/>
              </w:rPr>
            </w:pPr>
            <w:r>
              <w:rPr>
                <w:rFonts w:hint="eastAsia" w:ascii="宋体" w:hAnsi="宋体" w:eastAsia="宋体" w:cs="宋体"/>
              </w:rPr>
              <w:t>姓名</w:t>
            </w:r>
          </w:p>
        </w:tc>
        <w:tc>
          <w:tcPr>
            <w:tcW w:w="2008" w:type="dxa"/>
            <w:gridSpan w:val="2"/>
            <w:tcBorders>
              <w:bottom w:val="single" w:color="auto" w:sz="4" w:space="0"/>
            </w:tcBorders>
            <w:vAlign w:val="center"/>
          </w:tcPr>
          <w:p w14:paraId="09166F66">
            <w:pPr>
              <w:jc w:val="center"/>
              <w:rPr>
                <w:rFonts w:ascii="宋体" w:hAnsi="宋体" w:eastAsia="宋体" w:cs="宋体"/>
              </w:rPr>
            </w:pPr>
            <w:r>
              <w:rPr>
                <w:rFonts w:hint="eastAsia" w:ascii="宋体" w:hAnsi="宋体" w:eastAsia="宋体" w:cs="宋体"/>
              </w:rPr>
              <w:t>身份证号码</w:t>
            </w:r>
          </w:p>
        </w:tc>
        <w:tc>
          <w:tcPr>
            <w:tcW w:w="1318" w:type="dxa"/>
            <w:tcBorders>
              <w:bottom w:val="single" w:color="auto" w:sz="4" w:space="0"/>
            </w:tcBorders>
            <w:vAlign w:val="center"/>
          </w:tcPr>
          <w:p w14:paraId="3CBC5B72">
            <w:pPr>
              <w:jc w:val="center"/>
              <w:rPr>
                <w:rFonts w:ascii="宋体" w:hAnsi="宋体" w:eastAsia="宋体" w:cs="宋体"/>
              </w:rPr>
            </w:pPr>
            <w:r>
              <w:rPr>
                <w:rFonts w:hint="eastAsia" w:ascii="宋体" w:hAnsi="宋体" w:eastAsia="宋体" w:cs="宋体"/>
              </w:rPr>
              <w:t>劳动合同</w:t>
            </w:r>
          </w:p>
          <w:p w14:paraId="210CF184">
            <w:pPr>
              <w:jc w:val="center"/>
              <w:rPr>
                <w:rFonts w:ascii="宋体" w:hAnsi="宋体" w:eastAsia="宋体" w:cs="宋体"/>
              </w:rPr>
            </w:pPr>
            <w:r>
              <w:rPr>
                <w:rFonts w:hint="eastAsia" w:ascii="宋体" w:hAnsi="宋体" w:eastAsia="宋体" w:cs="宋体"/>
              </w:rPr>
              <w:t>关系单位</w:t>
            </w:r>
          </w:p>
        </w:tc>
        <w:tc>
          <w:tcPr>
            <w:tcW w:w="1417" w:type="dxa"/>
            <w:tcBorders>
              <w:bottom w:val="single" w:color="auto" w:sz="4" w:space="0"/>
            </w:tcBorders>
            <w:vAlign w:val="center"/>
          </w:tcPr>
          <w:p w14:paraId="089A2B46">
            <w:pPr>
              <w:jc w:val="center"/>
              <w:rPr>
                <w:rFonts w:ascii="宋体" w:hAnsi="宋体" w:eastAsia="宋体" w:cs="宋体"/>
              </w:rPr>
            </w:pPr>
            <w:r>
              <w:rPr>
                <w:rFonts w:hint="eastAsia" w:ascii="宋体" w:hAnsi="宋体" w:eastAsia="宋体" w:cs="宋体"/>
              </w:rPr>
              <w:t>缴纳社会</w:t>
            </w:r>
          </w:p>
          <w:p w14:paraId="1D7AD980">
            <w:pPr>
              <w:jc w:val="center"/>
              <w:rPr>
                <w:rFonts w:ascii="宋体" w:hAnsi="宋体" w:eastAsia="宋体" w:cs="宋体"/>
              </w:rPr>
            </w:pPr>
            <w:r>
              <w:rPr>
                <w:rFonts w:hint="eastAsia" w:ascii="宋体" w:hAnsi="宋体" w:eastAsia="宋体" w:cs="宋体"/>
              </w:rPr>
              <w:t>保险单位</w:t>
            </w:r>
          </w:p>
        </w:tc>
      </w:tr>
      <w:tr w14:paraId="25CE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700D0408">
            <w:pPr>
              <w:jc w:val="center"/>
              <w:rPr>
                <w:rFonts w:ascii="宋体" w:hAnsi="宋体" w:eastAsia="宋体" w:cs="宋体"/>
              </w:rPr>
            </w:pPr>
            <w:r>
              <w:rPr>
                <w:rFonts w:hint="eastAsia" w:ascii="宋体" w:hAnsi="宋体" w:eastAsia="宋体" w:cs="宋体"/>
              </w:rPr>
              <w:t>1</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3E60A516">
            <w:pPr>
              <w:jc w:val="center"/>
              <w:rPr>
                <w:rFonts w:ascii="宋体" w:hAnsi="宋体" w:eastAsia="宋体" w:cs="宋体"/>
              </w:rPr>
            </w:pPr>
            <w:r>
              <w:rPr>
                <w:rFonts w:hint="eastAsia" w:ascii="宋体" w:hAnsi="宋体" w:eastAsia="宋体" w:cs="宋体"/>
              </w:rPr>
              <w:t>法定代表人/单位负责人/主要经营负责人</w:t>
            </w:r>
          </w:p>
        </w:tc>
        <w:tc>
          <w:tcPr>
            <w:tcW w:w="908" w:type="dxa"/>
            <w:tcBorders>
              <w:top w:val="single" w:color="auto" w:sz="4" w:space="0"/>
              <w:left w:val="single" w:color="auto" w:sz="4" w:space="0"/>
              <w:bottom w:val="single" w:color="auto" w:sz="4" w:space="0"/>
              <w:right w:val="single" w:color="auto" w:sz="4" w:space="0"/>
            </w:tcBorders>
            <w:vAlign w:val="center"/>
          </w:tcPr>
          <w:p w14:paraId="1CAA1257">
            <w:pPr>
              <w:jc w:val="center"/>
              <w:rPr>
                <w:rFonts w:ascii="宋体" w:hAnsi="宋体" w:eastAsia="宋体" w:cs="宋体"/>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438E42CF">
            <w:pPr>
              <w:jc w:val="center"/>
              <w:rPr>
                <w:rFonts w:ascii="宋体" w:hAnsi="宋体" w:eastAsia="宋体" w:cs="宋体"/>
                <w:sz w:val="18"/>
                <w:szCs w:val="18"/>
              </w:rPr>
            </w:pPr>
          </w:p>
        </w:tc>
        <w:tc>
          <w:tcPr>
            <w:tcW w:w="1318" w:type="dxa"/>
            <w:tcBorders>
              <w:top w:val="single" w:color="auto" w:sz="4" w:space="0"/>
              <w:left w:val="single" w:color="auto" w:sz="4" w:space="0"/>
              <w:bottom w:val="single" w:color="auto" w:sz="4" w:space="0"/>
              <w:right w:val="single" w:color="auto" w:sz="4" w:space="0"/>
            </w:tcBorders>
            <w:vAlign w:val="center"/>
          </w:tcPr>
          <w:p w14:paraId="43A5E9AC">
            <w:pPr>
              <w:jc w:val="center"/>
              <w:rPr>
                <w:rFonts w:ascii="宋体" w:hAnsi="宋体" w:eastAsia="宋体" w:cs="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4F024998">
            <w:pPr>
              <w:jc w:val="center"/>
              <w:rPr>
                <w:rFonts w:ascii="宋体" w:hAnsi="宋体" w:eastAsia="宋体" w:cs="宋体"/>
              </w:rPr>
            </w:pPr>
          </w:p>
        </w:tc>
      </w:tr>
      <w:tr w14:paraId="266D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7165D5CF">
            <w:pPr>
              <w:jc w:val="center"/>
              <w:rPr>
                <w:rFonts w:ascii="宋体" w:hAnsi="宋体" w:eastAsia="宋体" w:cs="宋体"/>
              </w:rPr>
            </w:pPr>
            <w:r>
              <w:rPr>
                <w:rFonts w:hint="eastAsia" w:ascii="宋体" w:hAnsi="宋体" w:eastAsia="宋体" w:cs="宋体"/>
              </w:rPr>
              <w:t>2</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6AC849C7">
            <w:pPr>
              <w:jc w:val="center"/>
              <w:rPr>
                <w:rFonts w:ascii="宋体" w:hAnsi="宋体" w:eastAsia="宋体" w:cs="宋体"/>
              </w:rPr>
            </w:pPr>
            <w:r>
              <w:rPr>
                <w:rFonts w:hint="eastAsia" w:ascii="宋体" w:hAnsi="宋体" w:eastAsia="宋体" w:cs="宋体"/>
              </w:rPr>
              <w:t>项目投标授权代表人</w:t>
            </w:r>
          </w:p>
        </w:tc>
        <w:tc>
          <w:tcPr>
            <w:tcW w:w="908" w:type="dxa"/>
            <w:tcBorders>
              <w:top w:val="single" w:color="auto" w:sz="4" w:space="0"/>
              <w:left w:val="single" w:color="auto" w:sz="4" w:space="0"/>
              <w:bottom w:val="single" w:color="auto" w:sz="4" w:space="0"/>
              <w:right w:val="single" w:color="auto" w:sz="4" w:space="0"/>
            </w:tcBorders>
            <w:vAlign w:val="center"/>
          </w:tcPr>
          <w:p w14:paraId="20C34092">
            <w:pPr>
              <w:jc w:val="center"/>
              <w:rPr>
                <w:rFonts w:ascii="宋体" w:hAnsi="宋体" w:eastAsia="宋体" w:cs="宋体"/>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7D90DC74">
            <w:pPr>
              <w:jc w:val="center"/>
              <w:rPr>
                <w:rFonts w:ascii="宋体" w:hAnsi="宋体" w:eastAsia="宋体" w:cs="宋体"/>
                <w:sz w:val="18"/>
                <w:szCs w:val="18"/>
              </w:rPr>
            </w:pPr>
          </w:p>
        </w:tc>
        <w:tc>
          <w:tcPr>
            <w:tcW w:w="1318" w:type="dxa"/>
            <w:tcBorders>
              <w:top w:val="single" w:color="auto" w:sz="4" w:space="0"/>
              <w:left w:val="single" w:color="auto" w:sz="4" w:space="0"/>
              <w:bottom w:val="single" w:color="auto" w:sz="4" w:space="0"/>
              <w:right w:val="single" w:color="auto" w:sz="4" w:space="0"/>
            </w:tcBorders>
            <w:vAlign w:val="center"/>
          </w:tcPr>
          <w:p w14:paraId="39664FEB">
            <w:pPr>
              <w:jc w:val="center"/>
              <w:rPr>
                <w:rFonts w:ascii="宋体" w:hAnsi="宋体" w:eastAsia="宋体" w:cs="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2514B4ED">
            <w:pPr>
              <w:jc w:val="center"/>
              <w:rPr>
                <w:rFonts w:ascii="宋体" w:hAnsi="宋体" w:eastAsia="宋体" w:cs="宋体"/>
              </w:rPr>
            </w:pPr>
          </w:p>
        </w:tc>
      </w:tr>
      <w:tr w14:paraId="1C66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tcBorders>
            <w:vAlign w:val="center"/>
          </w:tcPr>
          <w:p w14:paraId="5A2C1793">
            <w:pPr>
              <w:jc w:val="center"/>
              <w:rPr>
                <w:rFonts w:ascii="宋体" w:hAnsi="宋体" w:eastAsia="宋体" w:cs="宋体"/>
              </w:rPr>
            </w:pPr>
            <w:r>
              <w:rPr>
                <w:rFonts w:hint="eastAsia" w:ascii="宋体" w:hAnsi="宋体" w:eastAsia="宋体" w:cs="宋体"/>
              </w:rPr>
              <w:t>3</w:t>
            </w:r>
          </w:p>
        </w:tc>
        <w:tc>
          <w:tcPr>
            <w:tcW w:w="2160" w:type="dxa"/>
            <w:gridSpan w:val="2"/>
            <w:tcBorders>
              <w:top w:val="single" w:color="auto" w:sz="4" w:space="0"/>
            </w:tcBorders>
            <w:vAlign w:val="center"/>
          </w:tcPr>
          <w:p w14:paraId="6891574A">
            <w:pPr>
              <w:jc w:val="center"/>
              <w:rPr>
                <w:rFonts w:ascii="宋体" w:hAnsi="宋体" w:eastAsia="宋体" w:cs="宋体"/>
              </w:rPr>
            </w:pPr>
            <w:r>
              <w:rPr>
                <w:rFonts w:hint="eastAsia" w:ascii="宋体" w:hAnsi="宋体" w:eastAsia="宋体" w:cs="宋体"/>
              </w:rPr>
              <w:t>项目负责人</w:t>
            </w:r>
          </w:p>
        </w:tc>
        <w:tc>
          <w:tcPr>
            <w:tcW w:w="908" w:type="dxa"/>
            <w:tcBorders>
              <w:top w:val="single" w:color="auto" w:sz="4" w:space="0"/>
            </w:tcBorders>
            <w:vAlign w:val="center"/>
          </w:tcPr>
          <w:p w14:paraId="2ACE9983">
            <w:pPr>
              <w:jc w:val="center"/>
              <w:rPr>
                <w:rFonts w:ascii="宋体" w:hAnsi="宋体" w:eastAsia="宋体" w:cs="宋体"/>
              </w:rPr>
            </w:pPr>
          </w:p>
        </w:tc>
        <w:tc>
          <w:tcPr>
            <w:tcW w:w="2008" w:type="dxa"/>
            <w:gridSpan w:val="2"/>
            <w:tcBorders>
              <w:top w:val="single" w:color="auto" w:sz="4" w:space="0"/>
            </w:tcBorders>
            <w:vAlign w:val="center"/>
          </w:tcPr>
          <w:p w14:paraId="52E3F215">
            <w:pPr>
              <w:jc w:val="center"/>
              <w:rPr>
                <w:rFonts w:ascii="宋体" w:hAnsi="宋体" w:eastAsia="宋体" w:cs="宋体"/>
                <w:sz w:val="18"/>
                <w:szCs w:val="18"/>
              </w:rPr>
            </w:pPr>
          </w:p>
        </w:tc>
        <w:tc>
          <w:tcPr>
            <w:tcW w:w="1318" w:type="dxa"/>
            <w:tcBorders>
              <w:top w:val="single" w:color="auto" w:sz="4" w:space="0"/>
            </w:tcBorders>
            <w:vAlign w:val="center"/>
          </w:tcPr>
          <w:p w14:paraId="0DCAF203">
            <w:pPr>
              <w:jc w:val="center"/>
              <w:rPr>
                <w:rFonts w:ascii="宋体" w:hAnsi="宋体" w:eastAsia="宋体" w:cs="宋体"/>
              </w:rPr>
            </w:pPr>
          </w:p>
        </w:tc>
        <w:tc>
          <w:tcPr>
            <w:tcW w:w="1417" w:type="dxa"/>
            <w:tcBorders>
              <w:top w:val="single" w:color="auto" w:sz="4" w:space="0"/>
            </w:tcBorders>
            <w:vAlign w:val="center"/>
          </w:tcPr>
          <w:p w14:paraId="3DB32386">
            <w:pPr>
              <w:jc w:val="center"/>
              <w:rPr>
                <w:rFonts w:ascii="宋体" w:hAnsi="宋体" w:eastAsia="宋体" w:cs="宋体"/>
              </w:rPr>
            </w:pPr>
          </w:p>
        </w:tc>
      </w:tr>
      <w:tr w14:paraId="36DA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vAlign w:val="center"/>
          </w:tcPr>
          <w:p w14:paraId="276D4210">
            <w:pPr>
              <w:jc w:val="center"/>
              <w:rPr>
                <w:rFonts w:ascii="宋体" w:hAnsi="宋体" w:eastAsia="宋体" w:cs="宋体"/>
              </w:rPr>
            </w:pPr>
            <w:r>
              <w:rPr>
                <w:rFonts w:hint="eastAsia" w:ascii="宋体" w:hAnsi="宋体" w:eastAsia="宋体" w:cs="宋体"/>
              </w:rPr>
              <w:t>4</w:t>
            </w:r>
          </w:p>
        </w:tc>
        <w:tc>
          <w:tcPr>
            <w:tcW w:w="2160" w:type="dxa"/>
            <w:gridSpan w:val="2"/>
            <w:vAlign w:val="center"/>
          </w:tcPr>
          <w:p w14:paraId="258C19BC">
            <w:pPr>
              <w:jc w:val="center"/>
              <w:rPr>
                <w:rFonts w:ascii="宋体" w:hAnsi="宋体" w:eastAsia="宋体" w:cs="宋体"/>
              </w:rPr>
            </w:pPr>
            <w:r>
              <w:rPr>
                <w:rFonts w:hint="eastAsia" w:ascii="宋体" w:hAnsi="宋体" w:eastAsia="宋体" w:cs="宋体"/>
              </w:rPr>
              <w:t>主要技术人员</w:t>
            </w:r>
          </w:p>
        </w:tc>
        <w:tc>
          <w:tcPr>
            <w:tcW w:w="908" w:type="dxa"/>
            <w:vAlign w:val="center"/>
          </w:tcPr>
          <w:p w14:paraId="0AC40470">
            <w:pPr>
              <w:jc w:val="center"/>
              <w:rPr>
                <w:rFonts w:ascii="宋体" w:hAnsi="宋体" w:eastAsia="宋体" w:cs="宋体"/>
              </w:rPr>
            </w:pPr>
          </w:p>
        </w:tc>
        <w:tc>
          <w:tcPr>
            <w:tcW w:w="2008" w:type="dxa"/>
            <w:gridSpan w:val="2"/>
            <w:vAlign w:val="center"/>
          </w:tcPr>
          <w:p w14:paraId="1CEAE693">
            <w:pPr>
              <w:jc w:val="center"/>
              <w:rPr>
                <w:rFonts w:ascii="宋体" w:hAnsi="宋体" w:eastAsia="宋体" w:cs="宋体"/>
                <w:sz w:val="18"/>
                <w:szCs w:val="18"/>
              </w:rPr>
            </w:pPr>
          </w:p>
        </w:tc>
        <w:tc>
          <w:tcPr>
            <w:tcW w:w="1318" w:type="dxa"/>
            <w:vAlign w:val="center"/>
          </w:tcPr>
          <w:p w14:paraId="7A9C5D7B">
            <w:pPr>
              <w:jc w:val="center"/>
              <w:rPr>
                <w:rFonts w:ascii="宋体" w:hAnsi="宋体" w:eastAsia="宋体" w:cs="宋体"/>
              </w:rPr>
            </w:pPr>
          </w:p>
        </w:tc>
        <w:tc>
          <w:tcPr>
            <w:tcW w:w="1417" w:type="dxa"/>
            <w:vAlign w:val="center"/>
          </w:tcPr>
          <w:p w14:paraId="5BBB2DD8">
            <w:pPr>
              <w:jc w:val="center"/>
              <w:rPr>
                <w:rFonts w:ascii="宋体" w:hAnsi="宋体" w:eastAsia="宋体" w:cs="宋体"/>
              </w:rPr>
            </w:pPr>
          </w:p>
        </w:tc>
      </w:tr>
      <w:tr w14:paraId="11EB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vAlign w:val="center"/>
          </w:tcPr>
          <w:p w14:paraId="7C9A779F">
            <w:pPr>
              <w:jc w:val="center"/>
              <w:rPr>
                <w:rFonts w:ascii="宋体" w:hAnsi="宋体" w:eastAsia="宋体" w:cs="宋体"/>
              </w:rPr>
            </w:pPr>
            <w:r>
              <w:rPr>
                <w:rFonts w:hint="eastAsia" w:ascii="宋体" w:hAnsi="宋体" w:eastAsia="宋体" w:cs="宋体"/>
              </w:rPr>
              <w:t>5</w:t>
            </w:r>
          </w:p>
        </w:tc>
        <w:tc>
          <w:tcPr>
            <w:tcW w:w="2160" w:type="dxa"/>
            <w:gridSpan w:val="2"/>
            <w:vAlign w:val="center"/>
          </w:tcPr>
          <w:p w14:paraId="4CEC19C1">
            <w:pPr>
              <w:jc w:val="center"/>
              <w:rPr>
                <w:rFonts w:ascii="宋体" w:hAnsi="宋体" w:eastAsia="宋体" w:cs="宋体"/>
              </w:rPr>
            </w:pPr>
            <w:r>
              <w:rPr>
                <w:rFonts w:hint="eastAsia" w:ascii="宋体" w:hAnsi="宋体" w:eastAsia="宋体" w:cs="宋体"/>
              </w:rPr>
              <w:t>投标文件编制人员</w:t>
            </w:r>
          </w:p>
        </w:tc>
        <w:tc>
          <w:tcPr>
            <w:tcW w:w="908" w:type="dxa"/>
            <w:vAlign w:val="center"/>
          </w:tcPr>
          <w:p w14:paraId="18A4D8DB">
            <w:pPr>
              <w:jc w:val="center"/>
              <w:rPr>
                <w:rFonts w:ascii="宋体" w:hAnsi="宋体" w:eastAsia="宋体" w:cs="宋体"/>
              </w:rPr>
            </w:pPr>
          </w:p>
        </w:tc>
        <w:tc>
          <w:tcPr>
            <w:tcW w:w="2008" w:type="dxa"/>
            <w:gridSpan w:val="2"/>
            <w:vAlign w:val="center"/>
          </w:tcPr>
          <w:p w14:paraId="072017F0">
            <w:pPr>
              <w:jc w:val="center"/>
              <w:rPr>
                <w:rFonts w:ascii="宋体" w:hAnsi="宋体" w:eastAsia="宋体" w:cs="宋体"/>
                <w:sz w:val="18"/>
                <w:szCs w:val="18"/>
              </w:rPr>
            </w:pPr>
          </w:p>
        </w:tc>
        <w:tc>
          <w:tcPr>
            <w:tcW w:w="1318" w:type="dxa"/>
            <w:vAlign w:val="center"/>
          </w:tcPr>
          <w:p w14:paraId="75430583">
            <w:pPr>
              <w:jc w:val="center"/>
              <w:rPr>
                <w:rFonts w:ascii="宋体" w:hAnsi="宋体" w:eastAsia="宋体" w:cs="宋体"/>
              </w:rPr>
            </w:pPr>
          </w:p>
        </w:tc>
        <w:tc>
          <w:tcPr>
            <w:tcW w:w="1417" w:type="dxa"/>
            <w:vAlign w:val="center"/>
          </w:tcPr>
          <w:p w14:paraId="27375CB1">
            <w:pPr>
              <w:jc w:val="center"/>
              <w:rPr>
                <w:rFonts w:ascii="宋体" w:hAnsi="宋体" w:eastAsia="宋体" w:cs="宋体"/>
              </w:rPr>
            </w:pPr>
          </w:p>
        </w:tc>
      </w:tr>
      <w:tr w14:paraId="4051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gridSpan w:val="8"/>
            <w:vAlign w:val="center"/>
          </w:tcPr>
          <w:p w14:paraId="196E8785">
            <w:pPr>
              <w:jc w:val="center"/>
              <w:rPr>
                <w:rFonts w:ascii="宋体" w:hAnsi="宋体" w:eastAsia="宋体" w:cs="宋体"/>
              </w:rPr>
            </w:pPr>
            <w:r>
              <w:rPr>
                <w:rFonts w:hint="eastAsia" w:ascii="宋体" w:hAnsi="宋体" w:eastAsia="宋体" w:cs="宋体"/>
              </w:rPr>
              <w:t>说明：同一职务有多人担任（如主要技术人员），应分行填写。</w:t>
            </w:r>
          </w:p>
        </w:tc>
      </w:tr>
      <w:tr w14:paraId="07213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529" w:type="dxa"/>
            <w:gridSpan w:val="8"/>
            <w:vAlign w:val="center"/>
          </w:tcPr>
          <w:p w14:paraId="17508594">
            <w:pPr>
              <w:jc w:val="center"/>
              <w:rPr>
                <w:rFonts w:ascii="宋体" w:hAnsi="宋体" w:eastAsia="宋体" w:cs="宋体"/>
              </w:rPr>
            </w:pPr>
            <w:r>
              <w:rPr>
                <w:rFonts w:hint="eastAsia" w:ascii="宋体" w:hAnsi="宋体" w:eastAsia="宋体" w:cs="宋体"/>
              </w:rPr>
              <w:t>投标（响应）供应商关联关系情况</w:t>
            </w:r>
          </w:p>
        </w:tc>
      </w:tr>
      <w:tr w14:paraId="2DB4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bottom w:val="single" w:color="auto" w:sz="4" w:space="0"/>
            </w:tcBorders>
            <w:vAlign w:val="center"/>
          </w:tcPr>
          <w:p w14:paraId="200FC082">
            <w:pPr>
              <w:jc w:val="center"/>
              <w:rPr>
                <w:rFonts w:ascii="宋体" w:hAnsi="宋体" w:eastAsia="宋体" w:cs="宋体"/>
              </w:rPr>
            </w:pPr>
            <w:r>
              <w:rPr>
                <w:rFonts w:hint="eastAsia" w:ascii="宋体" w:hAnsi="宋体" w:eastAsia="宋体" w:cs="宋体"/>
              </w:rPr>
              <w:t>序号</w:t>
            </w:r>
          </w:p>
        </w:tc>
        <w:tc>
          <w:tcPr>
            <w:tcW w:w="2160" w:type="dxa"/>
            <w:gridSpan w:val="2"/>
            <w:tcBorders>
              <w:bottom w:val="single" w:color="auto" w:sz="4" w:space="0"/>
            </w:tcBorders>
            <w:vAlign w:val="center"/>
          </w:tcPr>
          <w:p w14:paraId="1758F8BF">
            <w:pPr>
              <w:jc w:val="center"/>
              <w:rPr>
                <w:rFonts w:ascii="宋体" w:hAnsi="宋体" w:eastAsia="宋体" w:cs="宋体"/>
              </w:rPr>
            </w:pPr>
            <w:r>
              <w:rPr>
                <w:rFonts w:hint="eastAsia" w:ascii="宋体" w:hAnsi="宋体" w:eastAsia="宋体" w:cs="宋体"/>
              </w:rPr>
              <w:t>关联关系类型</w:t>
            </w:r>
          </w:p>
        </w:tc>
        <w:tc>
          <w:tcPr>
            <w:tcW w:w="1661" w:type="dxa"/>
            <w:gridSpan w:val="2"/>
            <w:tcBorders>
              <w:bottom w:val="single" w:color="auto" w:sz="4" w:space="0"/>
            </w:tcBorders>
            <w:vAlign w:val="center"/>
          </w:tcPr>
          <w:p w14:paraId="4B4B6FBC">
            <w:pPr>
              <w:jc w:val="center"/>
              <w:rPr>
                <w:rFonts w:ascii="宋体" w:hAnsi="宋体" w:eastAsia="宋体" w:cs="宋体"/>
              </w:rPr>
            </w:pPr>
            <w:r>
              <w:rPr>
                <w:rFonts w:hint="eastAsia" w:ascii="宋体" w:hAnsi="宋体" w:eastAsia="宋体" w:cs="宋体"/>
              </w:rPr>
              <w:t>关联主体名称</w:t>
            </w:r>
          </w:p>
        </w:tc>
        <w:tc>
          <w:tcPr>
            <w:tcW w:w="3990" w:type="dxa"/>
            <w:gridSpan w:val="3"/>
            <w:tcBorders>
              <w:bottom w:val="single" w:color="auto" w:sz="4" w:space="0"/>
            </w:tcBorders>
            <w:vAlign w:val="center"/>
          </w:tcPr>
          <w:p w14:paraId="280A498D">
            <w:pPr>
              <w:jc w:val="center"/>
              <w:rPr>
                <w:rFonts w:ascii="宋体" w:hAnsi="宋体" w:eastAsia="宋体" w:cs="宋体"/>
              </w:rPr>
            </w:pPr>
            <w:r>
              <w:rPr>
                <w:rFonts w:hint="eastAsia" w:ascii="宋体" w:hAnsi="宋体" w:eastAsia="宋体" w:cs="宋体"/>
              </w:rPr>
              <w:t>备注</w:t>
            </w:r>
          </w:p>
        </w:tc>
      </w:tr>
      <w:tr w14:paraId="314E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00AA571A">
            <w:pPr>
              <w:jc w:val="center"/>
              <w:rPr>
                <w:rFonts w:ascii="宋体" w:hAnsi="宋体" w:eastAsia="宋体" w:cs="宋体"/>
              </w:rPr>
            </w:pPr>
            <w:r>
              <w:rPr>
                <w:rFonts w:hint="eastAsia" w:ascii="宋体" w:hAnsi="宋体" w:eastAsia="宋体" w:cs="宋体"/>
              </w:rPr>
              <w:t>1</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21DC271C">
            <w:pPr>
              <w:jc w:val="center"/>
              <w:rPr>
                <w:rFonts w:ascii="宋体" w:hAnsi="宋体" w:eastAsia="宋体" w:cs="宋体"/>
              </w:rPr>
            </w:pPr>
            <w:r>
              <w:rPr>
                <w:rFonts w:hint="eastAsia" w:ascii="宋体" w:hAnsi="宋体" w:eastAsia="宋体" w:cs="宋体"/>
              </w:rPr>
              <w:t>控股股东</w:t>
            </w: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15D52C86">
            <w:pPr>
              <w:jc w:val="center"/>
              <w:rPr>
                <w:rFonts w:ascii="宋体" w:hAnsi="宋体" w:eastAsia="宋体" w:cs="宋体"/>
              </w:rPr>
            </w:pPr>
          </w:p>
        </w:tc>
        <w:tc>
          <w:tcPr>
            <w:tcW w:w="3990" w:type="dxa"/>
            <w:gridSpan w:val="3"/>
            <w:tcBorders>
              <w:top w:val="single" w:color="auto" w:sz="4" w:space="0"/>
              <w:left w:val="single" w:color="auto" w:sz="4" w:space="0"/>
              <w:bottom w:val="single" w:color="auto" w:sz="4" w:space="0"/>
              <w:right w:val="single" w:color="auto" w:sz="4" w:space="0"/>
            </w:tcBorders>
            <w:vAlign w:val="center"/>
          </w:tcPr>
          <w:p w14:paraId="2E19DD5F">
            <w:pPr>
              <w:jc w:val="center"/>
              <w:rPr>
                <w:rFonts w:ascii="宋体" w:hAnsi="宋体" w:eastAsia="宋体" w:cs="宋体"/>
              </w:rPr>
            </w:pPr>
            <w:r>
              <w:rPr>
                <w:rFonts w:hint="eastAsia" w:ascii="宋体" w:hAnsi="宋体" w:eastAsia="宋体" w:cs="宋体"/>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D46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14:paraId="2347487E">
            <w:pPr>
              <w:jc w:val="center"/>
              <w:rPr>
                <w:rFonts w:ascii="宋体" w:hAnsi="宋体" w:eastAsia="宋体" w:cs="宋体"/>
              </w:rPr>
            </w:pPr>
            <w:r>
              <w:rPr>
                <w:rFonts w:hint="eastAsia" w:ascii="宋体" w:hAnsi="宋体" w:eastAsia="宋体" w:cs="宋体"/>
              </w:rPr>
              <w:t>2</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00B4BC9E">
            <w:pPr>
              <w:jc w:val="center"/>
              <w:rPr>
                <w:rFonts w:ascii="宋体" w:hAnsi="宋体" w:eastAsia="宋体" w:cs="宋体"/>
              </w:rPr>
            </w:pPr>
            <w:r>
              <w:rPr>
                <w:rFonts w:hint="eastAsia" w:ascii="宋体" w:hAnsi="宋体" w:eastAsia="宋体" w:cs="宋体"/>
              </w:rPr>
              <w:t>管理关系</w:t>
            </w: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30B4A306">
            <w:pPr>
              <w:jc w:val="center"/>
              <w:rPr>
                <w:rFonts w:ascii="宋体" w:hAnsi="宋体" w:eastAsia="宋体" w:cs="宋体"/>
              </w:rPr>
            </w:pPr>
          </w:p>
        </w:tc>
        <w:tc>
          <w:tcPr>
            <w:tcW w:w="3990" w:type="dxa"/>
            <w:gridSpan w:val="3"/>
            <w:tcBorders>
              <w:top w:val="single" w:color="auto" w:sz="4" w:space="0"/>
              <w:left w:val="single" w:color="auto" w:sz="4" w:space="0"/>
              <w:bottom w:val="single" w:color="auto" w:sz="4" w:space="0"/>
              <w:right w:val="single" w:color="auto" w:sz="4" w:space="0"/>
            </w:tcBorders>
            <w:vAlign w:val="center"/>
          </w:tcPr>
          <w:p w14:paraId="1CDEE00F">
            <w:pPr>
              <w:jc w:val="center"/>
              <w:rPr>
                <w:rFonts w:ascii="宋体" w:hAnsi="宋体" w:eastAsia="宋体" w:cs="宋体"/>
              </w:rPr>
            </w:pPr>
            <w:r>
              <w:rPr>
                <w:rFonts w:hint="eastAsia" w:ascii="宋体" w:hAnsi="宋体" w:eastAsia="宋体" w:cs="宋体"/>
              </w:rPr>
              <w:t>指对投标（响应）供应商不具有出资持股关系，但对其存在管理关系的主体。</w:t>
            </w:r>
          </w:p>
        </w:tc>
      </w:tr>
      <w:tr w14:paraId="58FD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529" w:type="dxa"/>
            <w:gridSpan w:val="8"/>
            <w:tcBorders>
              <w:top w:val="single" w:color="auto" w:sz="4" w:space="0"/>
              <w:left w:val="single" w:color="auto" w:sz="4" w:space="0"/>
              <w:bottom w:val="single" w:color="auto" w:sz="4" w:space="0"/>
              <w:right w:val="single" w:color="auto" w:sz="4" w:space="0"/>
            </w:tcBorders>
            <w:vAlign w:val="center"/>
          </w:tcPr>
          <w:p w14:paraId="7D69A575">
            <w:pPr>
              <w:ind w:firstLine="401"/>
              <w:jc w:val="left"/>
              <w:rPr>
                <w:rFonts w:ascii="宋体" w:hAnsi="宋体" w:eastAsia="宋体" w:cs="宋体"/>
              </w:rPr>
            </w:pPr>
            <w:r>
              <w:rPr>
                <w:rFonts w:hint="eastAsia" w:ascii="宋体" w:hAnsi="宋体" w:eastAsia="宋体" w:cs="宋体"/>
                <w:b/>
                <w:bCs/>
              </w:rPr>
              <w:t>说明：同一关联关系类型有多个主体的，应分行填写。</w:t>
            </w:r>
          </w:p>
        </w:tc>
      </w:tr>
    </w:tbl>
    <w:p w14:paraId="0D8F3963"/>
    <w:p w14:paraId="15804EA7"/>
    <w:sectPr>
      <w:pgSz w:w="11906" w:h="16838"/>
      <w:pgMar w:top="993"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H Yb 2gj">
    <w:altName w:val="黑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jYmQxNWVmMGE1ZjNkMmQzMGY5MGZjNzg2YTkyNTYifQ=="/>
  </w:docVars>
  <w:rsids>
    <w:rsidRoot w:val="005D5AE9"/>
    <w:rsid w:val="0000090A"/>
    <w:rsid w:val="00002A27"/>
    <w:rsid w:val="00011B82"/>
    <w:rsid w:val="00022396"/>
    <w:rsid w:val="000241C3"/>
    <w:rsid w:val="00024218"/>
    <w:rsid w:val="00024A31"/>
    <w:rsid w:val="000260F6"/>
    <w:rsid w:val="00027F1A"/>
    <w:rsid w:val="00033EC7"/>
    <w:rsid w:val="00040D64"/>
    <w:rsid w:val="00046274"/>
    <w:rsid w:val="000473FF"/>
    <w:rsid w:val="00050487"/>
    <w:rsid w:val="00050BF6"/>
    <w:rsid w:val="000535D6"/>
    <w:rsid w:val="00054904"/>
    <w:rsid w:val="00054C0A"/>
    <w:rsid w:val="00054FED"/>
    <w:rsid w:val="00055166"/>
    <w:rsid w:val="00056ED7"/>
    <w:rsid w:val="00057ABC"/>
    <w:rsid w:val="00060D4F"/>
    <w:rsid w:val="00061B01"/>
    <w:rsid w:val="00063B47"/>
    <w:rsid w:val="00066D60"/>
    <w:rsid w:val="00081625"/>
    <w:rsid w:val="00081DCA"/>
    <w:rsid w:val="00092748"/>
    <w:rsid w:val="000963DF"/>
    <w:rsid w:val="000969AD"/>
    <w:rsid w:val="00096B4C"/>
    <w:rsid w:val="00097F39"/>
    <w:rsid w:val="000A1A47"/>
    <w:rsid w:val="000A334F"/>
    <w:rsid w:val="000B5C11"/>
    <w:rsid w:val="000C3C06"/>
    <w:rsid w:val="000C4174"/>
    <w:rsid w:val="000C5BD2"/>
    <w:rsid w:val="000D0B15"/>
    <w:rsid w:val="000D170A"/>
    <w:rsid w:val="000D38E9"/>
    <w:rsid w:val="000D5954"/>
    <w:rsid w:val="000E1A9C"/>
    <w:rsid w:val="000E24AF"/>
    <w:rsid w:val="000F1131"/>
    <w:rsid w:val="000F2912"/>
    <w:rsid w:val="000F301A"/>
    <w:rsid w:val="000F6DE9"/>
    <w:rsid w:val="001011AB"/>
    <w:rsid w:val="001076B3"/>
    <w:rsid w:val="00111D09"/>
    <w:rsid w:val="00111F90"/>
    <w:rsid w:val="001251A8"/>
    <w:rsid w:val="0012630E"/>
    <w:rsid w:val="00141515"/>
    <w:rsid w:val="00156886"/>
    <w:rsid w:val="00162B46"/>
    <w:rsid w:val="001641B0"/>
    <w:rsid w:val="00171162"/>
    <w:rsid w:val="001722EC"/>
    <w:rsid w:val="0017382F"/>
    <w:rsid w:val="001818F0"/>
    <w:rsid w:val="0018247A"/>
    <w:rsid w:val="00185417"/>
    <w:rsid w:val="0018666A"/>
    <w:rsid w:val="00191CF3"/>
    <w:rsid w:val="00191D5E"/>
    <w:rsid w:val="001967B4"/>
    <w:rsid w:val="001A049C"/>
    <w:rsid w:val="001B1FD0"/>
    <w:rsid w:val="001B2B8D"/>
    <w:rsid w:val="001B5C37"/>
    <w:rsid w:val="001D10CC"/>
    <w:rsid w:val="001E01F8"/>
    <w:rsid w:val="001E28FF"/>
    <w:rsid w:val="001E4011"/>
    <w:rsid w:val="001E6A63"/>
    <w:rsid w:val="001F4D5B"/>
    <w:rsid w:val="00206B02"/>
    <w:rsid w:val="00215437"/>
    <w:rsid w:val="002160AE"/>
    <w:rsid w:val="002175B6"/>
    <w:rsid w:val="00221AC0"/>
    <w:rsid w:val="00230A6D"/>
    <w:rsid w:val="00230FBA"/>
    <w:rsid w:val="002320C7"/>
    <w:rsid w:val="002364F9"/>
    <w:rsid w:val="00237E82"/>
    <w:rsid w:val="00244316"/>
    <w:rsid w:val="002473A7"/>
    <w:rsid w:val="00250792"/>
    <w:rsid w:val="00251BDD"/>
    <w:rsid w:val="00254BAE"/>
    <w:rsid w:val="002639FF"/>
    <w:rsid w:val="0026583B"/>
    <w:rsid w:val="00266845"/>
    <w:rsid w:val="00275D91"/>
    <w:rsid w:val="00277842"/>
    <w:rsid w:val="00277F64"/>
    <w:rsid w:val="002827A2"/>
    <w:rsid w:val="00284D25"/>
    <w:rsid w:val="002876E2"/>
    <w:rsid w:val="002902D8"/>
    <w:rsid w:val="0029043A"/>
    <w:rsid w:val="00290E3F"/>
    <w:rsid w:val="002918F2"/>
    <w:rsid w:val="00291FD5"/>
    <w:rsid w:val="00294C89"/>
    <w:rsid w:val="00296C3F"/>
    <w:rsid w:val="002A0E6D"/>
    <w:rsid w:val="002A213F"/>
    <w:rsid w:val="002A5544"/>
    <w:rsid w:val="002A63BB"/>
    <w:rsid w:val="002B2789"/>
    <w:rsid w:val="002B365F"/>
    <w:rsid w:val="002B5648"/>
    <w:rsid w:val="002B5ECA"/>
    <w:rsid w:val="002B6E40"/>
    <w:rsid w:val="002C20AE"/>
    <w:rsid w:val="002C335B"/>
    <w:rsid w:val="002D1C4F"/>
    <w:rsid w:val="002D200D"/>
    <w:rsid w:val="002E7FD2"/>
    <w:rsid w:val="002F076D"/>
    <w:rsid w:val="002F0FE9"/>
    <w:rsid w:val="002F14AC"/>
    <w:rsid w:val="002F299C"/>
    <w:rsid w:val="002F3CF2"/>
    <w:rsid w:val="002F4520"/>
    <w:rsid w:val="002F6D1D"/>
    <w:rsid w:val="003019B0"/>
    <w:rsid w:val="00303128"/>
    <w:rsid w:val="0030385D"/>
    <w:rsid w:val="003056E4"/>
    <w:rsid w:val="003060A3"/>
    <w:rsid w:val="0031138F"/>
    <w:rsid w:val="0031483D"/>
    <w:rsid w:val="0032096F"/>
    <w:rsid w:val="00320A7E"/>
    <w:rsid w:val="003223D3"/>
    <w:rsid w:val="0033377A"/>
    <w:rsid w:val="00336590"/>
    <w:rsid w:val="00341EF3"/>
    <w:rsid w:val="003441F6"/>
    <w:rsid w:val="0035076A"/>
    <w:rsid w:val="00350CAF"/>
    <w:rsid w:val="00353AF7"/>
    <w:rsid w:val="003615A2"/>
    <w:rsid w:val="00361CC6"/>
    <w:rsid w:val="0036201A"/>
    <w:rsid w:val="00363931"/>
    <w:rsid w:val="00366241"/>
    <w:rsid w:val="00370DF4"/>
    <w:rsid w:val="0037313E"/>
    <w:rsid w:val="0037494A"/>
    <w:rsid w:val="0037521A"/>
    <w:rsid w:val="003766BB"/>
    <w:rsid w:val="00390626"/>
    <w:rsid w:val="00394830"/>
    <w:rsid w:val="003951F5"/>
    <w:rsid w:val="00395524"/>
    <w:rsid w:val="003A38A0"/>
    <w:rsid w:val="003A5378"/>
    <w:rsid w:val="003A602F"/>
    <w:rsid w:val="003A62FA"/>
    <w:rsid w:val="003B2A20"/>
    <w:rsid w:val="003B338F"/>
    <w:rsid w:val="003B6607"/>
    <w:rsid w:val="003C17CE"/>
    <w:rsid w:val="003C5A41"/>
    <w:rsid w:val="003D15EF"/>
    <w:rsid w:val="003D1EF0"/>
    <w:rsid w:val="003D2D47"/>
    <w:rsid w:val="003D3DA4"/>
    <w:rsid w:val="003D4336"/>
    <w:rsid w:val="003D4974"/>
    <w:rsid w:val="003E462A"/>
    <w:rsid w:val="003F371C"/>
    <w:rsid w:val="00401212"/>
    <w:rsid w:val="00407D1B"/>
    <w:rsid w:val="00413167"/>
    <w:rsid w:val="00416F16"/>
    <w:rsid w:val="00417349"/>
    <w:rsid w:val="00422E85"/>
    <w:rsid w:val="0043050C"/>
    <w:rsid w:val="00431DC1"/>
    <w:rsid w:val="00435F5A"/>
    <w:rsid w:val="00441374"/>
    <w:rsid w:val="00444170"/>
    <w:rsid w:val="00445E3F"/>
    <w:rsid w:val="00447465"/>
    <w:rsid w:val="0044750D"/>
    <w:rsid w:val="0045505A"/>
    <w:rsid w:val="00460633"/>
    <w:rsid w:val="00460960"/>
    <w:rsid w:val="00461517"/>
    <w:rsid w:val="004628E1"/>
    <w:rsid w:val="00462C27"/>
    <w:rsid w:val="00471A3B"/>
    <w:rsid w:val="00472342"/>
    <w:rsid w:val="00476019"/>
    <w:rsid w:val="0047631A"/>
    <w:rsid w:val="00486FCA"/>
    <w:rsid w:val="004935AF"/>
    <w:rsid w:val="004958A6"/>
    <w:rsid w:val="004A1104"/>
    <w:rsid w:val="004C0736"/>
    <w:rsid w:val="004C2143"/>
    <w:rsid w:val="004C218C"/>
    <w:rsid w:val="004C2EEF"/>
    <w:rsid w:val="004C3F84"/>
    <w:rsid w:val="004C5CAF"/>
    <w:rsid w:val="004C7348"/>
    <w:rsid w:val="004D3AE3"/>
    <w:rsid w:val="004E1273"/>
    <w:rsid w:val="004E5766"/>
    <w:rsid w:val="004E6EAF"/>
    <w:rsid w:val="004E7C1A"/>
    <w:rsid w:val="004F7DD5"/>
    <w:rsid w:val="005035FD"/>
    <w:rsid w:val="0051104B"/>
    <w:rsid w:val="0051344E"/>
    <w:rsid w:val="005151B1"/>
    <w:rsid w:val="005165C0"/>
    <w:rsid w:val="00521192"/>
    <w:rsid w:val="00535022"/>
    <w:rsid w:val="0053613F"/>
    <w:rsid w:val="005364E8"/>
    <w:rsid w:val="00542F69"/>
    <w:rsid w:val="00545A25"/>
    <w:rsid w:val="00546BC1"/>
    <w:rsid w:val="00552796"/>
    <w:rsid w:val="00553E26"/>
    <w:rsid w:val="005547F3"/>
    <w:rsid w:val="0055545A"/>
    <w:rsid w:val="0056006D"/>
    <w:rsid w:val="00560AEC"/>
    <w:rsid w:val="00561185"/>
    <w:rsid w:val="0056286D"/>
    <w:rsid w:val="00563C5D"/>
    <w:rsid w:val="00574DEA"/>
    <w:rsid w:val="0057501A"/>
    <w:rsid w:val="00576BAB"/>
    <w:rsid w:val="00583BD6"/>
    <w:rsid w:val="005911AF"/>
    <w:rsid w:val="0059152C"/>
    <w:rsid w:val="005927F0"/>
    <w:rsid w:val="0059288C"/>
    <w:rsid w:val="00597769"/>
    <w:rsid w:val="00597FB6"/>
    <w:rsid w:val="005A4CB8"/>
    <w:rsid w:val="005A5604"/>
    <w:rsid w:val="005A6E97"/>
    <w:rsid w:val="005A7A76"/>
    <w:rsid w:val="005B087E"/>
    <w:rsid w:val="005B5ABC"/>
    <w:rsid w:val="005B63CE"/>
    <w:rsid w:val="005C580F"/>
    <w:rsid w:val="005C6994"/>
    <w:rsid w:val="005C75B6"/>
    <w:rsid w:val="005D0DF3"/>
    <w:rsid w:val="005D55FC"/>
    <w:rsid w:val="005D5AE9"/>
    <w:rsid w:val="005E0213"/>
    <w:rsid w:val="005E06EF"/>
    <w:rsid w:val="005E1B85"/>
    <w:rsid w:val="005E4B8D"/>
    <w:rsid w:val="005E5CC0"/>
    <w:rsid w:val="005F1640"/>
    <w:rsid w:val="005F1D5A"/>
    <w:rsid w:val="005F2085"/>
    <w:rsid w:val="005F4E94"/>
    <w:rsid w:val="006119A7"/>
    <w:rsid w:val="00614DFD"/>
    <w:rsid w:val="00616B14"/>
    <w:rsid w:val="006204AC"/>
    <w:rsid w:val="006242FD"/>
    <w:rsid w:val="006327BB"/>
    <w:rsid w:val="00632A40"/>
    <w:rsid w:val="00632E3F"/>
    <w:rsid w:val="00633C9D"/>
    <w:rsid w:val="00641BD4"/>
    <w:rsid w:val="0064362E"/>
    <w:rsid w:val="00644592"/>
    <w:rsid w:val="00646C21"/>
    <w:rsid w:val="00646CC9"/>
    <w:rsid w:val="00647449"/>
    <w:rsid w:val="006616C6"/>
    <w:rsid w:val="00663C02"/>
    <w:rsid w:val="00665B79"/>
    <w:rsid w:val="00670AF6"/>
    <w:rsid w:val="00671450"/>
    <w:rsid w:val="00677199"/>
    <w:rsid w:val="00680B2D"/>
    <w:rsid w:val="00684663"/>
    <w:rsid w:val="00685465"/>
    <w:rsid w:val="006941EE"/>
    <w:rsid w:val="006978B9"/>
    <w:rsid w:val="006A03C8"/>
    <w:rsid w:val="006A0543"/>
    <w:rsid w:val="006A4B52"/>
    <w:rsid w:val="006B2300"/>
    <w:rsid w:val="006C0C6A"/>
    <w:rsid w:val="006C14A7"/>
    <w:rsid w:val="006C292F"/>
    <w:rsid w:val="006C77CB"/>
    <w:rsid w:val="006C7FEA"/>
    <w:rsid w:val="006D7F48"/>
    <w:rsid w:val="006E0F29"/>
    <w:rsid w:val="006E3BDF"/>
    <w:rsid w:val="006E5A0B"/>
    <w:rsid w:val="006E6ABD"/>
    <w:rsid w:val="006E6CDC"/>
    <w:rsid w:val="006F46E9"/>
    <w:rsid w:val="006F4B3C"/>
    <w:rsid w:val="006F4CAA"/>
    <w:rsid w:val="00704376"/>
    <w:rsid w:val="007050D0"/>
    <w:rsid w:val="0070519F"/>
    <w:rsid w:val="00714036"/>
    <w:rsid w:val="00716308"/>
    <w:rsid w:val="00722799"/>
    <w:rsid w:val="007278DD"/>
    <w:rsid w:val="00727BA2"/>
    <w:rsid w:val="007326BE"/>
    <w:rsid w:val="00732EDF"/>
    <w:rsid w:val="0073410B"/>
    <w:rsid w:val="007354E0"/>
    <w:rsid w:val="007360DA"/>
    <w:rsid w:val="00737114"/>
    <w:rsid w:val="00740B8E"/>
    <w:rsid w:val="00743B8A"/>
    <w:rsid w:val="00745BFD"/>
    <w:rsid w:val="007535A8"/>
    <w:rsid w:val="0075797B"/>
    <w:rsid w:val="00760E5F"/>
    <w:rsid w:val="00761371"/>
    <w:rsid w:val="0076541D"/>
    <w:rsid w:val="007735F4"/>
    <w:rsid w:val="007772FF"/>
    <w:rsid w:val="00780C96"/>
    <w:rsid w:val="007854FC"/>
    <w:rsid w:val="00790729"/>
    <w:rsid w:val="0079446A"/>
    <w:rsid w:val="00795AF1"/>
    <w:rsid w:val="007975AF"/>
    <w:rsid w:val="00797F6C"/>
    <w:rsid w:val="007A1717"/>
    <w:rsid w:val="007A17A1"/>
    <w:rsid w:val="007A1CE5"/>
    <w:rsid w:val="007A2328"/>
    <w:rsid w:val="007B18D9"/>
    <w:rsid w:val="007B3EBF"/>
    <w:rsid w:val="007B655D"/>
    <w:rsid w:val="007C748B"/>
    <w:rsid w:val="007D246E"/>
    <w:rsid w:val="007D2483"/>
    <w:rsid w:val="007E4020"/>
    <w:rsid w:val="007E505C"/>
    <w:rsid w:val="007E73DC"/>
    <w:rsid w:val="007F3201"/>
    <w:rsid w:val="007F36F5"/>
    <w:rsid w:val="007F58FF"/>
    <w:rsid w:val="007F6DEF"/>
    <w:rsid w:val="00805886"/>
    <w:rsid w:val="0080793B"/>
    <w:rsid w:val="008148F7"/>
    <w:rsid w:val="00820C7D"/>
    <w:rsid w:val="00824F62"/>
    <w:rsid w:val="00830D24"/>
    <w:rsid w:val="00830F85"/>
    <w:rsid w:val="00832777"/>
    <w:rsid w:val="008335A7"/>
    <w:rsid w:val="0083695D"/>
    <w:rsid w:val="00836D9F"/>
    <w:rsid w:val="0084110D"/>
    <w:rsid w:val="008459DE"/>
    <w:rsid w:val="00850AFE"/>
    <w:rsid w:val="008560FF"/>
    <w:rsid w:val="00857CE5"/>
    <w:rsid w:val="008606E1"/>
    <w:rsid w:val="00873AA2"/>
    <w:rsid w:val="00873F08"/>
    <w:rsid w:val="008759C8"/>
    <w:rsid w:val="00876571"/>
    <w:rsid w:val="00892860"/>
    <w:rsid w:val="008A3BC8"/>
    <w:rsid w:val="008A61A8"/>
    <w:rsid w:val="008A6547"/>
    <w:rsid w:val="008A7051"/>
    <w:rsid w:val="008B20DA"/>
    <w:rsid w:val="008B630D"/>
    <w:rsid w:val="008C0124"/>
    <w:rsid w:val="008C58FC"/>
    <w:rsid w:val="008C6EAD"/>
    <w:rsid w:val="008D5120"/>
    <w:rsid w:val="008D550D"/>
    <w:rsid w:val="008D734E"/>
    <w:rsid w:val="008E1517"/>
    <w:rsid w:val="008E1C32"/>
    <w:rsid w:val="008E26B7"/>
    <w:rsid w:val="008E2EEC"/>
    <w:rsid w:val="008E4C4C"/>
    <w:rsid w:val="008E521B"/>
    <w:rsid w:val="008E5517"/>
    <w:rsid w:val="008E741A"/>
    <w:rsid w:val="008E7911"/>
    <w:rsid w:val="008E7C0E"/>
    <w:rsid w:val="008F4818"/>
    <w:rsid w:val="008F777E"/>
    <w:rsid w:val="008F7FF8"/>
    <w:rsid w:val="00900FA2"/>
    <w:rsid w:val="00902D1D"/>
    <w:rsid w:val="009035E5"/>
    <w:rsid w:val="00912805"/>
    <w:rsid w:val="00916031"/>
    <w:rsid w:val="009208E6"/>
    <w:rsid w:val="00923FD8"/>
    <w:rsid w:val="00926AF3"/>
    <w:rsid w:val="00930F0E"/>
    <w:rsid w:val="00933D10"/>
    <w:rsid w:val="00935847"/>
    <w:rsid w:val="0093596B"/>
    <w:rsid w:val="00941A80"/>
    <w:rsid w:val="009430F6"/>
    <w:rsid w:val="00944740"/>
    <w:rsid w:val="009455E6"/>
    <w:rsid w:val="009605C9"/>
    <w:rsid w:val="00961439"/>
    <w:rsid w:val="009626E5"/>
    <w:rsid w:val="00962E33"/>
    <w:rsid w:val="0096386E"/>
    <w:rsid w:val="00964CAE"/>
    <w:rsid w:val="00966872"/>
    <w:rsid w:val="009675F0"/>
    <w:rsid w:val="00967DB6"/>
    <w:rsid w:val="0097177B"/>
    <w:rsid w:val="00972522"/>
    <w:rsid w:val="00974EC5"/>
    <w:rsid w:val="00976CB7"/>
    <w:rsid w:val="00987678"/>
    <w:rsid w:val="00995EAD"/>
    <w:rsid w:val="009A5EC6"/>
    <w:rsid w:val="009A6737"/>
    <w:rsid w:val="009C2250"/>
    <w:rsid w:val="009C7B9C"/>
    <w:rsid w:val="009D0712"/>
    <w:rsid w:val="009D0A2D"/>
    <w:rsid w:val="009D0C5F"/>
    <w:rsid w:val="009D0C96"/>
    <w:rsid w:val="009D1ECD"/>
    <w:rsid w:val="009D5B75"/>
    <w:rsid w:val="009D5F06"/>
    <w:rsid w:val="009D7684"/>
    <w:rsid w:val="009E09E3"/>
    <w:rsid w:val="009E36E5"/>
    <w:rsid w:val="009E4AC8"/>
    <w:rsid w:val="009E4CA7"/>
    <w:rsid w:val="009E69E3"/>
    <w:rsid w:val="009F2F53"/>
    <w:rsid w:val="009F3619"/>
    <w:rsid w:val="009F38A3"/>
    <w:rsid w:val="009F5C82"/>
    <w:rsid w:val="009F7B32"/>
    <w:rsid w:val="00A1655C"/>
    <w:rsid w:val="00A16BA0"/>
    <w:rsid w:val="00A17060"/>
    <w:rsid w:val="00A17277"/>
    <w:rsid w:val="00A208E2"/>
    <w:rsid w:val="00A21098"/>
    <w:rsid w:val="00A24989"/>
    <w:rsid w:val="00A310AD"/>
    <w:rsid w:val="00A34CB3"/>
    <w:rsid w:val="00A4593A"/>
    <w:rsid w:val="00A46118"/>
    <w:rsid w:val="00A46335"/>
    <w:rsid w:val="00A50E60"/>
    <w:rsid w:val="00A51A81"/>
    <w:rsid w:val="00A5222B"/>
    <w:rsid w:val="00A554FE"/>
    <w:rsid w:val="00A616DE"/>
    <w:rsid w:val="00A62067"/>
    <w:rsid w:val="00A6252D"/>
    <w:rsid w:val="00A63E04"/>
    <w:rsid w:val="00A66B9D"/>
    <w:rsid w:val="00A67F19"/>
    <w:rsid w:val="00A70D93"/>
    <w:rsid w:val="00A71329"/>
    <w:rsid w:val="00A77C20"/>
    <w:rsid w:val="00A81187"/>
    <w:rsid w:val="00A90705"/>
    <w:rsid w:val="00A94995"/>
    <w:rsid w:val="00A96E22"/>
    <w:rsid w:val="00AA614D"/>
    <w:rsid w:val="00AA698B"/>
    <w:rsid w:val="00AB4DF1"/>
    <w:rsid w:val="00AB57F4"/>
    <w:rsid w:val="00AC1882"/>
    <w:rsid w:val="00AC2827"/>
    <w:rsid w:val="00AD0546"/>
    <w:rsid w:val="00AD1265"/>
    <w:rsid w:val="00AD71AB"/>
    <w:rsid w:val="00AE0C6A"/>
    <w:rsid w:val="00AE325A"/>
    <w:rsid w:val="00AE7B08"/>
    <w:rsid w:val="00AF4750"/>
    <w:rsid w:val="00AF5C6E"/>
    <w:rsid w:val="00B050F8"/>
    <w:rsid w:val="00B06840"/>
    <w:rsid w:val="00B1273B"/>
    <w:rsid w:val="00B163BE"/>
    <w:rsid w:val="00B21EEA"/>
    <w:rsid w:val="00B223EF"/>
    <w:rsid w:val="00B2383E"/>
    <w:rsid w:val="00B2548C"/>
    <w:rsid w:val="00B35630"/>
    <w:rsid w:val="00B42095"/>
    <w:rsid w:val="00B4247F"/>
    <w:rsid w:val="00B502B1"/>
    <w:rsid w:val="00B565A0"/>
    <w:rsid w:val="00B56770"/>
    <w:rsid w:val="00B56DB5"/>
    <w:rsid w:val="00B63750"/>
    <w:rsid w:val="00B71816"/>
    <w:rsid w:val="00B718B3"/>
    <w:rsid w:val="00B7213A"/>
    <w:rsid w:val="00B75183"/>
    <w:rsid w:val="00B76AA2"/>
    <w:rsid w:val="00B8096B"/>
    <w:rsid w:val="00B82A1A"/>
    <w:rsid w:val="00B91DCF"/>
    <w:rsid w:val="00BA2EA6"/>
    <w:rsid w:val="00BA33DA"/>
    <w:rsid w:val="00BA39B7"/>
    <w:rsid w:val="00BC1EB5"/>
    <w:rsid w:val="00BD0FDF"/>
    <w:rsid w:val="00BD1D19"/>
    <w:rsid w:val="00BD1F5B"/>
    <w:rsid w:val="00BD21C6"/>
    <w:rsid w:val="00BD4CD7"/>
    <w:rsid w:val="00BE1C20"/>
    <w:rsid w:val="00BE2CBA"/>
    <w:rsid w:val="00BE5E02"/>
    <w:rsid w:val="00BE79F2"/>
    <w:rsid w:val="00BF0DBE"/>
    <w:rsid w:val="00BF706B"/>
    <w:rsid w:val="00BF7C3D"/>
    <w:rsid w:val="00C03F66"/>
    <w:rsid w:val="00C05896"/>
    <w:rsid w:val="00C12AB8"/>
    <w:rsid w:val="00C15302"/>
    <w:rsid w:val="00C23A5A"/>
    <w:rsid w:val="00C25DBB"/>
    <w:rsid w:val="00C265B9"/>
    <w:rsid w:val="00C3270E"/>
    <w:rsid w:val="00C327EE"/>
    <w:rsid w:val="00C353DB"/>
    <w:rsid w:val="00C37F7A"/>
    <w:rsid w:val="00C445B3"/>
    <w:rsid w:val="00C469F6"/>
    <w:rsid w:val="00C50F10"/>
    <w:rsid w:val="00C54B8A"/>
    <w:rsid w:val="00C54BBD"/>
    <w:rsid w:val="00C55386"/>
    <w:rsid w:val="00C70B34"/>
    <w:rsid w:val="00C710EE"/>
    <w:rsid w:val="00C80A1A"/>
    <w:rsid w:val="00C81719"/>
    <w:rsid w:val="00C86141"/>
    <w:rsid w:val="00C927B0"/>
    <w:rsid w:val="00C92C46"/>
    <w:rsid w:val="00C93A32"/>
    <w:rsid w:val="00C97C25"/>
    <w:rsid w:val="00CA0478"/>
    <w:rsid w:val="00CA2806"/>
    <w:rsid w:val="00CA3B65"/>
    <w:rsid w:val="00CB0349"/>
    <w:rsid w:val="00CB3275"/>
    <w:rsid w:val="00CC04BD"/>
    <w:rsid w:val="00CC205B"/>
    <w:rsid w:val="00CC362F"/>
    <w:rsid w:val="00CC6A5A"/>
    <w:rsid w:val="00CC74D5"/>
    <w:rsid w:val="00CC7F56"/>
    <w:rsid w:val="00CD0D02"/>
    <w:rsid w:val="00CD21AF"/>
    <w:rsid w:val="00CD3058"/>
    <w:rsid w:val="00CE0B92"/>
    <w:rsid w:val="00CE1E95"/>
    <w:rsid w:val="00CE274A"/>
    <w:rsid w:val="00CE3AD8"/>
    <w:rsid w:val="00CF174D"/>
    <w:rsid w:val="00D0414D"/>
    <w:rsid w:val="00D052E6"/>
    <w:rsid w:val="00D06779"/>
    <w:rsid w:val="00D10DB4"/>
    <w:rsid w:val="00D11F48"/>
    <w:rsid w:val="00D207BF"/>
    <w:rsid w:val="00D2260B"/>
    <w:rsid w:val="00D25285"/>
    <w:rsid w:val="00D273A9"/>
    <w:rsid w:val="00D34AD3"/>
    <w:rsid w:val="00D402BD"/>
    <w:rsid w:val="00D43B07"/>
    <w:rsid w:val="00D4507C"/>
    <w:rsid w:val="00D472F6"/>
    <w:rsid w:val="00D500A7"/>
    <w:rsid w:val="00D50AF9"/>
    <w:rsid w:val="00D51D90"/>
    <w:rsid w:val="00D5343A"/>
    <w:rsid w:val="00D64305"/>
    <w:rsid w:val="00D67FCC"/>
    <w:rsid w:val="00D70555"/>
    <w:rsid w:val="00D70A3E"/>
    <w:rsid w:val="00D71B40"/>
    <w:rsid w:val="00D724DD"/>
    <w:rsid w:val="00D727A5"/>
    <w:rsid w:val="00D7672B"/>
    <w:rsid w:val="00DA58C2"/>
    <w:rsid w:val="00DA5D58"/>
    <w:rsid w:val="00DA6F9A"/>
    <w:rsid w:val="00DB1B02"/>
    <w:rsid w:val="00DB6026"/>
    <w:rsid w:val="00DB7B02"/>
    <w:rsid w:val="00DC046C"/>
    <w:rsid w:val="00DC46F3"/>
    <w:rsid w:val="00DC7026"/>
    <w:rsid w:val="00DC7D57"/>
    <w:rsid w:val="00DC7F37"/>
    <w:rsid w:val="00DD6EDC"/>
    <w:rsid w:val="00DD7FA2"/>
    <w:rsid w:val="00DE113C"/>
    <w:rsid w:val="00DE43D0"/>
    <w:rsid w:val="00DE4EB2"/>
    <w:rsid w:val="00DE5BD2"/>
    <w:rsid w:val="00DF01CB"/>
    <w:rsid w:val="00DF51B9"/>
    <w:rsid w:val="00DF7090"/>
    <w:rsid w:val="00DF7812"/>
    <w:rsid w:val="00E208AE"/>
    <w:rsid w:val="00E22B5A"/>
    <w:rsid w:val="00E23C4D"/>
    <w:rsid w:val="00E307DD"/>
    <w:rsid w:val="00E31C89"/>
    <w:rsid w:val="00E341E0"/>
    <w:rsid w:val="00E42FBE"/>
    <w:rsid w:val="00E44985"/>
    <w:rsid w:val="00E47595"/>
    <w:rsid w:val="00E56DF7"/>
    <w:rsid w:val="00E57DBB"/>
    <w:rsid w:val="00E6282C"/>
    <w:rsid w:val="00E65E76"/>
    <w:rsid w:val="00E67A61"/>
    <w:rsid w:val="00E7331A"/>
    <w:rsid w:val="00E764D2"/>
    <w:rsid w:val="00E827B7"/>
    <w:rsid w:val="00E86978"/>
    <w:rsid w:val="00E93139"/>
    <w:rsid w:val="00E9726A"/>
    <w:rsid w:val="00E97734"/>
    <w:rsid w:val="00EA0177"/>
    <w:rsid w:val="00EA41DF"/>
    <w:rsid w:val="00EC2701"/>
    <w:rsid w:val="00EC701C"/>
    <w:rsid w:val="00ED493E"/>
    <w:rsid w:val="00ED638F"/>
    <w:rsid w:val="00EE144C"/>
    <w:rsid w:val="00EE2813"/>
    <w:rsid w:val="00EE2E87"/>
    <w:rsid w:val="00EE53E6"/>
    <w:rsid w:val="00EF09D6"/>
    <w:rsid w:val="00EF1A72"/>
    <w:rsid w:val="00EF20EA"/>
    <w:rsid w:val="00EF3272"/>
    <w:rsid w:val="00EF5CA3"/>
    <w:rsid w:val="00EF7C84"/>
    <w:rsid w:val="00F01152"/>
    <w:rsid w:val="00F017E1"/>
    <w:rsid w:val="00F1215F"/>
    <w:rsid w:val="00F14A5B"/>
    <w:rsid w:val="00F153C9"/>
    <w:rsid w:val="00F17C4E"/>
    <w:rsid w:val="00F210AF"/>
    <w:rsid w:val="00F21E75"/>
    <w:rsid w:val="00F22B26"/>
    <w:rsid w:val="00F23D2E"/>
    <w:rsid w:val="00F23F3F"/>
    <w:rsid w:val="00F32E87"/>
    <w:rsid w:val="00F42963"/>
    <w:rsid w:val="00F47B70"/>
    <w:rsid w:val="00F5161D"/>
    <w:rsid w:val="00F60590"/>
    <w:rsid w:val="00F60C6C"/>
    <w:rsid w:val="00F63300"/>
    <w:rsid w:val="00F77649"/>
    <w:rsid w:val="00F8778B"/>
    <w:rsid w:val="00F93DEB"/>
    <w:rsid w:val="00FA1389"/>
    <w:rsid w:val="00FA1E6E"/>
    <w:rsid w:val="00FA5211"/>
    <w:rsid w:val="00FB1278"/>
    <w:rsid w:val="00FB37E1"/>
    <w:rsid w:val="00FB7EE6"/>
    <w:rsid w:val="00FC0529"/>
    <w:rsid w:val="00FC2253"/>
    <w:rsid w:val="00FC453A"/>
    <w:rsid w:val="00FC5857"/>
    <w:rsid w:val="00FC63FB"/>
    <w:rsid w:val="00FC66E6"/>
    <w:rsid w:val="00FD3556"/>
    <w:rsid w:val="00FE02AA"/>
    <w:rsid w:val="00FE2D77"/>
    <w:rsid w:val="00FE359E"/>
    <w:rsid w:val="00FE56FE"/>
    <w:rsid w:val="00FE680C"/>
    <w:rsid w:val="00FF054B"/>
    <w:rsid w:val="00FF3EFF"/>
    <w:rsid w:val="00FF3F47"/>
    <w:rsid w:val="00FF46CD"/>
    <w:rsid w:val="00FF53FC"/>
    <w:rsid w:val="00FF55B5"/>
    <w:rsid w:val="00FF6C23"/>
    <w:rsid w:val="02B96468"/>
    <w:rsid w:val="02C24BF1"/>
    <w:rsid w:val="035937A7"/>
    <w:rsid w:val="03655CA8"/>
    <w:rsid w:val="06DD649D"/>
    <w:rsid w:val="06DF7727"/>
    <w:rsid w:val="072F4F4B"/>
    <w:rsid w:val="075068C7"/>
    <w:rsid w:val="07DE2D8B"/>
    <w:rsid w:val="08745B19"/>
    <w:rsid w:val="09FA0BED"/>
    <w:rsid w:val="0A7C393A"/>
    <w:rsid w:val="0A821835"/>
    <w:rsid w:val="0BCE7613"/>
    <w:rsid w:val="0BF17A23"/>
    <w:rsid w:val="0C6A2581"/>
    <w:rsid w:val="0F056591"/>
    <w:rsid w:val="10353802"/>
    <w:rsid w:val="121E0D58"/>
    <w:rsid w:val="12CD345A"/>
    <w:rsid w:val="1349016D"/>
    <w:rsid w:val="13682D81"/>
    <w:rsid w:val="16CF1E5C"/>
    <w:rsid w:val="16E656C3"/>
    <w:rsid w:val="173F6646"/>
    <w:rsid w:val="17DE14CE"/>
    <w:rsid w:val="189B3D4A"/>
    <w:rsid w:val="18A63D25"/>
    <w:rsid w:val="19230775"/>
    <w:rsid w:val="197A301A"/>
    <w:rsid w:val="19A20B81"/>
    <w:rsid w:val="1BFC170F"/>
    <w:rsid w:val="1C8C6544"/>
    <w:rsid w:val="1CE7377A"/>
    <w:rsid w:val="1D216C8C"/>
    <w:rsid w:val="1D4B4E83"/>
    <w:rsid w:val="1D8334A3"/>
    <w:rsid w:val="1D8828A2"/>
    <w:rsid w:val="1D9D585A"/>
    <w:rsid w:val="1E647772"/>
    <w:rsid w:val="21AD1B7C"/>
    <w:rsid w:val="25433787"/>
    <w:rsid w:val="280F640A"/>
    <w:rsid w:val="286A1F69"/>
    <w:rsid w:val="28924EE2"/>
    <w:rsid w:val="29121B7F"/>
    <w:rsid w:val="2AD908DC"/>
    <w:rsid w:val="2B964CE9"/>
    <w:rsid w:val="2DE956D9"/>
    <w:rsid w:val="2E985F54"/>
    <w:rsid w:val="2EA8720D"/>
    <w:rsid w:val="2ECF6B10"/>
    <w:rsid w:val="2EE76884"/>
    <w:rsid w:val="2F9F0337"/>
    <w:rsid w:val="30066945"/>
    <w:rsid w:val="304C24A0"/>
    <w:rsid w:val="30937C76"/>
    <w:rsid w:val="30C45E54"/>
    <w:rsid w:val="31CD2942"/>
    <w:rsid w:val="33E462EB"/>
    <w:rsid w:val="34143CFB"/>
    <w:rsid w:val="344C063B"/>
    <w:rsid w:val="34C06C9A"/>
    <w:rsid w:val="35246EC1"/>
    <w:rsid w:val="35613A54"/>
    <w:rsid w:val="37B22EAA"/>
    <w:rsid w:val="382D42DF"/>
    <w:rsid w:val="38AC60D4"/>
    <w:rsid w:val="38B467AE"/>
    <w:rsid w:val="39ED6B3B"/>
    <w:rsid w:val="3A0045B7"/>
    <w:rsid w:val="3A053765"/>
    <w:rsid w:val="3B3913E9"/>
    <w:rsid w:val="3C0267B9"/>
    <w:rsid w:val="3C7B71D0"/>
    <w:rsid w:val="3EFC4A0B"/>
    <w:rsid w:val="3F760C61"/>
    <w:rsid w:val="40D52048"/>
    <w:rsid w:val="40F36398"/>
    <w:rsid w:val="410B2C87"/>
    <w:rsid w:val="423170C2"/>
    <w:rsid w:val="42913E89"/>
    <w:rsid w:val="450C2580"/>
    <w:rsid w:val="47003C8C"/>
    <w:rsid w:val="47AA7774"/>
    <w:rsid w:val="47F4705A"/>
    <w:rsid w:val="488040F7"/>
    <w:rsid w:val="48C4659A"/>
    <w:rsid w:val="499952DC"/>
    <w:rsid w:val="49B7295C"/>
    <w:rsid w:val="4BFC79CC"/>
    <w:rsid w:val="4C06511B"/>
    <w:rsid w:val="4C697BB1"/>
    <w:rsid w:val="4D690BC9"/>
    <w:rsid w:val="4D9B2C1B"/>
    <w:rsid w:val="4DD52FF7"/>
    <w:rsid w:val="4EE41BC3"/>
    <w:rsid w:val="4EEE63C5"/>
    <w:rsid w:val="4FC652ED"/>
    <w:rsid w:val="50306FB5"/>
    <w:rsid w:val="511300BE"/>
    <w:rsid w:val="515F7B5F"/>
    <w:rsid w:val="52B516DC"/>
    <w:rsid w:val="52DE018E"/>
    <w:rsid w:val="53DA19B7"/>
    <w:rsid w:val="53F215D4"/>
    <w:rsid w:val="5479624C"/>
    <w:rsid w:val="573D7CA0"/>
    <w:rsid w:val="5836446A"/>
    <w:rsid w:val="593C217C"/>
    <w:rsid w:val="5A56101C"/>
    <w:rsid w:val="5A96449D"/>
    <w:rsid w:val="5B353327"/>
    <w:rsid w:val="5BB16E51"/>
    <w:rsid w:val="5C915E6B"/>
    <w:rsid w:val="5CB35A78"/>
    <w:rsid w:val="5D467A6D"/>
    <w:rsid w:val="5E204216"/>
    <w:rsid w:val="5F5244A8"/>
    <w:rsid w:val="5F6A3CB9"/>
    <w:rsid w:val="62337C3C"/>
    <w:rsid w:val="62FE86CE"/>
    <w:rsid w:val="63D351D4"/>
    <w:rsid w:val="640C0196"/>
    <w:rsid w:val="643D5426"/>
    <w:rsid w:val="64BE613B"/>
    <w:rsid w:val="659301F6"/>
    <w:rsid w:val="65C6799D"/>
    <w:rsid w:val="6844104D"/>
    <w:rsid w:val="6A775937"/>
    <w:rsid w:val="6C7012B3"/>
    <w:rsid w:val="6D1D3CFC"/>
    <w:rsid w:val="72B875F5"/>
    <w:rsid w:val="76022B63"/>
    <w:rsid w:val="765F39FF"/>
    <w:rsid w:val="76A97D6A"/>
    <w:rsid w:val="79A050F6"/>
    <w:rsid w:val="7A2C0161"/>
    <w:rsid w:val="7AA64675"/>
    <w:rsid w:val="7B471B81"/>
    <w:rsid w:val="7C0C5586"/>
    <w:rsid w:val="7C6D24C9"/>
    <w:rsid w:val="7C7D5FD1"/>
    <w:rsid w:val="7CC305F7"/>
    <w:rsid w:val="7CDE6F23"/>
    <w:rsid w:val="7FC55D23"/>
    <w:rsid w:val="BBF886BF"/>
    <w:rsid w:val="FFDEF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4"/>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adjustRightInd w:val="0"/>
      <w:jc w:val="center"/>
      <w:textAlignment w:val="baseline"/>
      <w:outlineLvl w:val="1"/>
    </w:pPr>
    <w:rPr>
      <w:kern w:val="0"/>
      <w:sz w:val="24"/>
      <w:szCs w:val="20"/>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style>
  <w:style w:type="paragraph" w:styleId="5">
    <w:name w:val="Normal Indent"/>
    <w:basedOn w:val="1"/>
    <w:next w:val="6"/>
    <w:qFormat/>
    <w:uiPriority w:val="99"/>
    <w:pPr>
      <w:adjustRightInd w:val="0"/>
      <w:spacing w:line="312" w:lineRule="atLeast"/>
      <w:ind w:firstLine="420"/>
      <w:textAlignment w:val="baseline"/>
    </w:pPr>
    <w:rPr>
      <w:rFonts w:ascii="Times New Roman" w:hAnsi="Times New Roman"/>
      <w:kern w:val="0"/>
      <w:sz w:val="32"/>
      <w:szCs w:val="20"/>
    </w:rPr>
  </w:style>
  <w:style w:type="paragraph" w:styleId="6">
    <w:name w:val="Body Text"/>
    <w:basedOn w:val="1"/>
    <w:next w:val="7"/>
    <w:unhideWhenUsed/>
    <w:qFormat/>
    <w:uiPriority w:val="99"/>
    <w:pPr>
      <w:spacing w:after="120"/>
    </w:pPr>
  </w:style>
  <w:style w:type="paragraph" w:styleId="7">
    <w:name w:val="Quote"/>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styleId="8">
    <w:name w:val="annotation text"/>
    <w:basedOn w:val="1"/>
    <w:link w:val="32"/>
    <w:autoRedefine/>
    <w:semiHidden/>
    <w:unhideWhenUsed/>
    <w:qFormat/>
    <w:uiPriority w:val="99"/>
    <w:pPr>
      <w:jc w:val="left"/>
    </w:pPr>
  </w:style>
  <w:style w:type="paragraph" w:styleId="9">
    <w:name w:val="Body Text Indent"/>
    <w:basedOn w:val="1"/>
    <w:next w:val="1"/>
    <w:qFormat/>
    <w:uiPriority w:val="0"/>
    <w:pPr>
      <w:spacing w:line="360" w:lineRule="auto"/>
      <w:ind w:firstLine="420" w:firstLineChars="200"/>
    </w:pPr>
  </w:style>
  <w:style w:type="paragraph" w:styleId="10">
    <w:name w:val="Plain Text"/>
    <w:basedOn w:val="1"/>
    <w:next w:val="1"/>
    <w:qFormat/>
    <w:uiPriority w:val="0"/>
    <w:rPr>
      <w:rFonts w:ascii="宋体" w:hAnsi="Courier New"/>
    </w:rPr>
  </w:style>
  <w:style w:type="paragraph" w:styleId="11">
    <w:name w:val="Balloon Text"/>
    <w:basedOn w:val="1"/>
    <w:link w:val="31"/>
    <w:autoRedefine/>
    <w:semiHidden/>
    <w:unhideWhenUsed/>
    <w:qFormat/>
    <w:uiPriority w:val="99"/>
    <w:rPr>
      <w:rFonts w:ascii="Times New Roman" w:hAnsi="Times New Roman" w:eastAsia="仿宋_GB2312" w:cs="Times New Roman"/>
      <w:spacing w:val="10"/>
      <w:sz w:val="18"/>
      <w:szCs w:val="18"/>
    </w:rPr>
  </w:style>
  <w:style w:type="paragraph" w:styleId="12">
    <w:name w:val="footer"/>
    <w:basedOn w:val="1"/>
    <w:link w:val="28"/>
    <w:autoRedefine/>
    <w:unhideWhenUsed/>
    <w:qFormat/>
    <w:uiPriority w:val="99"/>
    <w:pPr>
      <w:tabs>
        <w:tab w:val="center" w:pos="4153"/>
        <w:tab w:val="right" w:pos="8306"/>
      </w:tabs>
      <w:snapToGrid w:val="0"/>
      <w:jc w:val="left"/>
    </w:pPr>
    <w:rPr>
      <w:sz w:val="18"/>
      <w:szCs w:val="18"/>
    </w:rPr>
  </w:style>
  <w:style w:type="paragraph" w:styleId="13">
    <w:name w:val="header"/>
    <w:basedOn w:val="1"/>
    <w:link w:val="27"/>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4">
    <w:name w:val="Body Text 2"/>
    <w:basedOn w:val="1"/>
    <w:qFormat/>
    <w:uiPriority w:val="0"/>
    <w:pPr>
      <w:spacing w:line="360" w:lineRule="auto"/>
    </w:pPr>
    <w:rPr>
      <w:sz w:val="24"/>
    </w:rPr>
  </w:style>
  <w:style w:type="paragraph" w:styleId="15">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next w:val="1"/>
    <w:qFormat/>
    <w:uiPriority w:val="99"/>
    <w:pPr>
      <w:spacing w:before="240" w:after="60"/>
      <w:jc w:val="center"/>
      <w:outlineLvl w:val="0"/>
    </w:pPr>
    <w:rPr>
      <w:rFonts w:ascii="Cambria" w:hAnsi="Cambria" w:cs="Cambria"/>
      <w:b/>
      <w:bCs/>
      <w:sz w:val="32"/>
      <w:szCs w:val="32"/>
    </w:rPr>
  </w:style>
  <w:style w:type="paragraph" w:styleId="17">
    <w:name w:val="annotation subject"/>
    <w:basedOn w:val="8"/>
    <w:next w:val="8"/>
    <w:link w:val="33"/>
    <w:autoRedefine/>
    <w:semiHidden/>
    <w:unhideWhenUsed/>
    <w:qFormat/>
    <w:uiPriority w:val="99"/>
    <w:rPr>
      <w:b/>
      <w:bCs/>
    </w:rPr>
  </w:style>
  <w:style w:type="paragraph" w:styleId="18">
    <w:name w:val="Body Text First Indent 2"/>
    <w:basedOn w:val="9"/>
    <w:qFormat/>
    <w:uiPriority w:val="0"/>
    <w:pPr>
      <w:spacing w:after="120" w:line="240" w:lineRule="auto"/>
      <w:ind w:left="420" w:leftChars="200"/>
    </w:p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autoRedefine/>
    <w:qFormat/>
    <w:uiPriority w:val="22"/>
    <w:rPr>
      <w:b/>
      <w:bCs/>
    </w:rPr>
  </w:style>
  <w:style w:type="character" w:styleId="23">
    <w:name w:val="FollowedHyperlink"/>
    <w:basedOn w:val="21"/>
    <w:autoRedefine/>
    <w:semiHidden/>
    <w:unhideWhenUsed/>
    <w:qFormat/>
    <w:uiPriority w:val="99"/>
    <w:rPr>
      <w:color w:val="800080"/>
      <w:sz w:val="20"/>
      <w:szCs w:val="20"/>
      <w:u w:val="single"/>
    </w:rPr>
  </w:style>
  <w:style w:type="character" w:styleId="24">
    <w:name w:val="Hyperlink"/>
    <w:basedOn w:val="21"/>
    <w:autoRedefine/>
    <w:semiHidden/>
    <w:unhideWhenUsed/>
    <w:qFormat/>
    <w:uiPriority w:val="99"/>
    <w:rPr>
      <w:color w:val="0000FF"/>
      <w:sz w:val="20"/>
      <w:szCs w:val="20"/>
      <w:u w:val="single"/>
    </w:rPr>
  </w:style>
  <w:style w:type="character" w:styleId="25">
    <w:name w:val="annotation reference"/>
    <w:basedOn w:val="21"/>
    <w:autoRedefine/>
    <w:semiHidden/>
    <w:unhideWhenUsed/>
    <w:qFormat/>
    <w:uiPriority w:val="99"/>
    <w:rPr>
      <w:sz w:val="21"/>
      <w:szCs w:val="21"/>
    </w:rPr>
  </w:style>
  <w:style w:type="paragraph" w:customStyle="1" w:styleId="26">
    <w:name w:val="tableheader"/>
    <w:basedOn w:val="1"/>
    <w:autoRedefine/>
    <w:qFormat/>
    <w:uiPriority w:val="0"/>
    <w:pPr>
      <w:widowControl/>
      <w:shd w:val="clear" w:color="auto" w:fill="ABCDEF"/>
      <w:spacing w:before="100" w:beforeAutospacing="1" w:after="100" w:afterAutospacing="1"/>
      <w:jc w:val="left"/>
    </w:pPr>
    <w:rPr>
      <w:rFonts w:ascii="宋体" w:hAnsi="宋体" w:eastAsia="宋体" w:cs="宋体"/>
      <w:kern w:val="0"/>
      <w:sz w:val="24"/>
      <w:szCs w:val="24"/>
    </w:rPr>
  </w:style>
  <w:style w:type="character" w:customStyle="1" w:styleId="27">
    <w:name w:val="页眉 Char"/>
    <w:basedOn w:val="21"/>
    <w:link w:val="13"/>
    <w:autoRedefine/>
    <w:qFormat/>
    <w:uiPriority w:val="0"/>
    <w:rPr>
      <w:rFonts w:ascii="Times New Roman" w:hAnsi="Times New Roman" w:eastAsia="宋体" w:cs="Times New Roman"/>
      <w:sz w:val="18"/>
      <w:szCs w:val="18"/>
    </w:rPr>
  </w:style>
  <w:style w:type="character" w:customStyle="1" w:styleId="28">
    <w:name w:val="页脚 Char"/>
    <w:basedOn w:val="21"/>
    <w:link w:val="12"/>
    <w:autoRedefine/>
    <w:qFormat/>
    <w:uiPriority w:val="99"/>
    <w:rPr>
      <w:sz w:val="18"/>
      <w:szCs w:val="18"/>
    </w:rPr>
  </w:style>
  <w:style w:type="paragraph" w:customStyle="1" w:styleId="29">
    <w:name w:val="首行缩进"/>
    <w:basedOn w:val="1"/>
    <w:autoRedefine/>
    <w:qFormat/>
    <w:uiPriority w:val="0"/>
    <w:pPr>
      <w:ind w:firstLine="480" w:firstLineChars="200"/>
    </w:pPr>
    <w:rPr>
      <w:rFonts w:ascii="Calibri" w:hAnsi="Calibri" w:eastAsia="仿宋" w:cs="Times New Roman"/>
      <w:sz w:val="28"/>
      <w:lang w:val="zh-CN"/>
    </w:rPr>
  </w:style>
  <w:style w:type="paragraph" w:styleId="30">
    <w:name w:val="List Paragraph"/>
    <w:basedOn w:val="1"/>
    <w:autoRedefine/>
    <w:qFormat/>
    <w:uiPriority w:val="34"/>
    <w:pPr>
      <w:ind w:firstLine="420" w:firstLineChars="200"/>
    </w:pPr>
  </w:style>
  <w:style w:type="character" w:customStyle="1" w:styleId="31">
    <w:name w:val="批注框文本 Char"/>
    <w:basedOn w:val="21"/>
    <w:link w:val="11"/>
    <w:autoRedefine/>
    <w:semiHidden/>
    <w:qFormat/>
    <w:uiPriority w:val="99"/>
    <w:rPr>
      <w:rFonts w:ascii="Times New Roman" w:hAnsi="Times New Roman" w:eastAsia="仿宋_GB2312" w:cs="Times New Roman"/>
      <w:spacing w:val="10"/>
      <w:sz w:val="18"/>
      <w:szCs w:val="18"/>
    </w:rPr>
  </w:style>
  <w:style w:type="character" w:customStyle="1" w:styleId="32">
    <w:name w:val="批注文字 Char"/>
    <w:basedOn w:val="21"/>
    <w:link w:val="8"/>
    <w:autoRedefine/>
    <w:semiHidden/>
    <w:qFormat/>
    <w:uiPriority w:val="99"/>
  </w:style>
  <w:style w:type="character" w:customStyle="1" w:styleId="33">
    <w:name w:val="批注主题 Char"/>
    <w:basedOn w:val="32"/>
    <w:link w:val="17"/>
    <w:autoRedefine/>
    <w:semiHidden/>
    <w:qFormat/>
    <w:uiPriority w:val="99"/>
    <w:rPr>
      <w:b/>
      <w:bCs/>
    </w:rPr>
  </w:style>
  <w:style w:type="character" w:customStyle="1" w:styleId="34">
    <w:name w:val="标题 1 Char"/>
    <w:basedOn w:val="21"/>
    <w:link w:val="2"/>
    <w:autoRedefine/>
    <w:qFormat/>
    <w:uiPriority w:val="9"/>
    <w:rPr>
      <w:b/>
      <w:bCs/>
      <w:kern w:val="44"/>
      <w:sz w:val="44"/>
      <w:szCs w:val="44"/>
    </w:rPr>
  </w:style>
  <w:style w:type="paragraph" w:customStyle="1" w:styleId="35">
    <w:name w:val="封面标准名称"/>
    <w:qFormat/>
    <w:uiPriority w:val="0"/>
    <w:pPr>
      <w:framePr w:w="9639" w:h="6917" w:wrap="around" w:vAnchor="page" w:hAnchor="page" w:xAlign="center" w:y="6408" w:anchorLock="1"/>
      <w:widowControl w:val="0"/>
      <w:spacing w:line="680" w:lineRule="exact"/>
      <w:jc w:val="center"/>
    </w:pPr>
    <w:rPr>
      <w:rFonts w:ascii="黑体" w:hAnsi="Times New Roman" w:eastAsia="黑体" w:cs="Times New Roman"/>
      <w:sz w:val="52"/>
      <w:lang w:val="en-US" w:eastAsia="zh-CN" w:bidi="ar-SA"/>
    </w:rPr>
  </w:style>
  <w:style w:type="character" w:customStyle="1" w:styleId="36">
    <w:name w:val="font51"/>
    <w:basedOn w:val="21"/>
    <w:qFormat/>
    <w:uiPriority w:val="0"/>
    <w:rPr>
      <w:rFonts w:ascii="仿宋_GB2312" w:eastAsia="仿宋_GB2312" w:cs="仿宋_GB2312"/>
      <w:color w:val="000000"/>
      <w:sz w:val="28"/>
      <w:szCs w:val="28"/>
      <w:u w:val="none"/>
    </w:rPr>
  </w:style>
  <w:style w:type="character" w:customStyle="1" w:styleId="37">
    <w:name w:val="font21"/>
    <w:basedOn w:val="21"/>
    <w:qFormat/>
    <w:uiPriority w:val="0"/>
    <w:rPr>
      <w:rFonts w:hint="eastAsia" w:ascii="宋体" w:hAnsi="宋体" w:eastAsia="宋体" w:cs="宋体"/>
      <w:color w:val="000000"/>
      <w:sz w:val="28"/>
      <w:szCs w:val="28"/>
      <w:u w:val="none"/>
    </w:rPr>
  </w:style>
  <w:style w:type="character" w:customStyle="1" w:styleId="38">
    <w:name w:val="font31"/>
    <w:basedOn w:val="21"/>
    <w:qFormat/>
    <w:uiPriority w:val="0"/>
    <w:rPr>
      <w:rFonts w:hint="default" w:ascii="Times New Roman" w:hAnsi="Times New Roman" w:cs="Times New Roman"/>
      <w:color w:val="000000"/>
      <w:sz w:val="28"/>
      <w:szCs w:val="28"/>
      <w:u w:val="none"/>
    </w:rPr>
  </w:style>
  <w:style w:type="character" w:customStyle="1" w:styleId="39">
    <w:name w:val="font41"/>
    <w:basedOn w:val="21"/>
    <w:qFormat/>
    <w:uiPriority w:val="0"/>
    <w:rPr>
      <w:rFonts w:hint="eastAsia" w:ascii="仿宋_GB2312" w:eastAsia="仿宋_GB2312" w:cs="仿宋_GB2312"/>
      <w:color w:val="000000"/>
      <w:sz w:val="28"/>
      <w:szCs w:val="28"/>
      <w:u w:val="none"/>
    </w:rPr>
  </w:style>
  <w:style w:type="character" w:customStyle="1" w:styleId="40">
    <w:name w:val="font11"/>
    <w:basedOn w:val="21"/>
    <w:qFormat/>
    <w:uiPriority w:val="0"/>
    <w:rPr>
      <w:rFonts w:hint="eastAsia" w:ascii="仿宋_GB2312" w:eastAsia="仿宋_GB2312" w:cs="仿宋_GB2312"/>
      <w:color w:val="000000"/>
      <w:sz w:val="22"/>
      <w:szCs w:val="22"/>
      <w:u w:val="none"/>
    </w:rPr>
  </w:style>
  <w:style w:type="character" w:customStyle="1" w:styleId="41">
    <w:name w:val="NormalCharacter"/>
    <w:semiHidden/>
    <w:qFormat/>
    <w:uiPriority w:val="0"/>
    <w:rPr>
      <w:rFonts w:ascii="Times New Roman" w:hAnsi="Times New Roman" w:eastAsia="宋体" w:cs="Times New Roman"/>
      <w:kern w:val="2"/>
      <w:sz w:val="21"/>
      <w:lang w:val="en-US" w:eastAsia="zh-CN" w:bidi="ar-SA"/>
    </w:rPr>
  </w:style>
  <w:style w:type="paragraph" w:customStyle="1" w:styleId="42">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43">
    <w:name w:val="表格文字"/>
    <w:qFormat/>
    <w:uiPriority w:val="99"/>
    <w:pPr>
      <w:widowControl w:val="0"/>
      <w:spacing w:before="25" w:after="25"/>
      <w:jc w:val="both"/>
    </w:pPr>
    <w:rPr>
      <w:rFonts w:ascii="Times New Roman" w:hAnsi="Times New Roman" w:eastAsia="宋体" w:cs="Times New Roman"/>
      <w:spacing w:val="10"/>
      <w:kern w:val="2"/>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DELL</Company>
  <Pages>11</Pages>
  <Words>7334</Words>
  <Characters>7507</Characters>
  <Lines>716</Lines>
  <Paragraphs>552</Paragraphs>
  <TotalTime>248</TotalTime>
  <ScaleCrop>false</ScaleCrop>
  <LinksUpToDate>false</LinksUpToDate>
  <CharactersWithSpaces>7556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2026-09-27T06:38:00Z</dcterms:created>
  <dc:creator>张婷婷</dc:creator>
  <cp:lastModifiedBy>SMN</cp:lastModifiedBy>
  <cp:lastPrinted>2024-05-27T16:56:00Z</cp:lastPrinted>
  <dcterms:modified xsi:type="dcterms:W3CDTF">2026-09-30T07:12:03Z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59E037068ADA4C36BA67449324E583EC_13</vt:lpwstr>
  </property>
  <property fmtid="{D5CDD505-2E9C-101B-9397-08002B2CF9AE}" pid="4" name="KSOTemplateDocerSaveRecord">
    <vt:lpwstr>eyJoZGlkIjoiNWI5MzFlZGQ1MWM5ZjJlZGU1ZDlkNWI3M2NjN2I4NDUiLCJ1c2VySWQiOiIzNDQ0ODA3MjQifQ==</vt:lpwstr>
  </property>
</Properties>
</file>