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5FDF4E">
      <w:pPr>
        <w:rPr>
          <w:rFonts w:hint="eastAsia" w:ascii="方正小标宋_GBK" w:hAnsi="方正小标宋简体" w:eastAsia="方正小标宋_GBK" w:cs="方正小标宋简体"/>
          <w:b w:val="0"/>
          <w:bCs w:val="0"/>
          <w:sz w:val="32"/>
          <w:szCs w:val="32"/>
        </w:rPr>
      </w:pPr>
      <w:r>
        <w:rPr>
          <w:rFonts w:hint="eastAsia"/>
          <w:b w:val="0"/>
          <w:bCs w:val="0"/>
        </w:rPr>
        <w:t xml:space="preserve">                                                                                                                                                                                                       </w:t>
      </w:r>
      <w:r>
        <w:rPr>
          <w:rFonts w:hint="eastAsia" w:ascii="方正小标宋_GBK" w:hAnsi="方正小标宋简体" w:eastAsia="方正小标宋_GBK" w:cs="方正小标宋简体"/>
          <w:b w:val="0"/>
          <w:bCs w:val="0"/>
          <w:sz w:val="32"/>
          <w:szCs w:val="32"/>
        </w:rPr>
        <w:t>南方医科大学深圳口腔医院（坪山）</w:t>
      </w:r>
    </w:p>
    <w:p w14:paraId="27E27080">
      <w:pPr>
        <w:rPr>
          <w:rFonts w:ascii="方正小标宋简体" w:hAnsi="方正小标宋简体" w:eastAsia="方正小标宋简体" w:cs="方正小标宋简体"/>
          <w:b w:val="0"/>
          <w:bCs w:val="0"/>
          <w:sz w:val="32"/>
          <w:szCs w:val="32"/>
        </w:rPr>
      </w:pPr>
      <w:bookmarkStart w:id="0" w:name="OLE_LINK21"/>
      <w:bookmarkStart w:id="1" w:name="OLE_LINK20"/>
      <w:r>
        <w:rPr>
          <w:rFonts w:hint="eastAsia" w:ascii="方正小标宋_GBK" w:hAnsi="方正小标宋简体" w:eastAsia="方正小标宋_GBK" w:cs="方正小标宋简体"/>
          <w:b w:val="0"/>
          <w:bCs w:val="0"/>
          <w:sz w:val="32"/>
          <w:szCs w:val="32"/>
        </w:rPr>
        <w:t>消防设施设备维修整改项目</w:t>
      </w:r>
      <w:bookmarkEnd w:id="0"/>
      <w:bookmarkEnd w:id="1"/>
      <w:r>
        <w:rPr>
          <w:rFonts w:hint="eastAsia" w:ascii="方正小标宋_GBK" w:hAnsi="方正小标宋简体" w:eastAsia="方正小标宋_GBK" w:cs="方正小标宋简体"/>
          <w:b w:val="0"/>
          <w:bCs w:val="0"/>
          <w:sz w:val="32"/>
          <w:szCs w:val="32"/>
        </w:rPr>
        <w:t>采购需求</w:t>
      </w:r>
    </w:p>
    <w:tbl>
      <w:tblPr>
        <w:tblStyle w:val="10"/>
        <w:tblpPr w:leftFromText="180" w:rightFromText="180" w:vertAnchor="text" w:horzAnchor="page" w:tblpX="554" w:tblpY="301"/>
        <w:tblOverlap w:val="never"/>
        <w:tblW w:w="10879" w:type="dxa"/>
        <w:tblCellSpacing w:w="0"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15" w:type="dxa"/>
          <w:left w:w="15" w:type="dxa"/>
          <w:bottom w:w="15" w:type="dxa"/>
          <w:right w:w="15" w:type="dxa"/>
        </w:tblCellMar>
      </w:tblPr>
      <w:tblGrid>
        <w:gridCol w:w="1154"/>
        <w:gridCol w:w="5066"/>
        <w:gridCol w:w="1985"/>
        <w:gridCol w:w="2674"/>
      </w:tblGrid>
      <w:tr w14:paraId="2D11E9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580" w:hRule="atLeast"/>
          <w:tblCellSpacing w:w="0" w:type="dxa"/>
        </w:trPr>
        <w:tc>
          <w:tcPr>
            <w:tcW w:w="1154" w:type="dxa"/>
            <w:vAlign w:val="center"/>
          </w:tcPr>
          <w:p w14:paraId="6FE6FBC1">
            <w:pPr>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项目名称</w:t>
            </w:r>
          </w:p>
        </w:tc>
        <w:tc>
          <w:tcPr>
            <w:tcW w:w="5066" w:type="dxa"/>
            <w:vAlign w:val="center"/>
          </w:tcPr>
          <w:p w14:paraId="0BB654DB">
            <w:pPr>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消防设施设备维修整改项目</w:t>
            </w:r>
          </w:p>
        </w:tc>
        <w:tc>
          <w:tcPr>
            <w:tcW w:w="1985" w:type="dxa"/>
            <w:vAlign w:val="center"/>
          </w:tcPr>
          <w:p w14:paraId="7CABE5FE">
            <w:pPr>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是否预选项目</w:t>
            </w:r>
          </w:p>
        </w:tc>
        <w:tc>
          <w:tcPr>
            <w:tcW w:w="2674" w:type="dxa"/>
            <w:vAlign w:val="center"/>
          </w:tcPr>
          <w:p w14:paraId="6591C4A9">
            <w:pPr>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否</w:t>
            </w:r>
          </w:p>
        </w:tc>
      </w:tr>
      <w:tr w14:paraId="35F081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blCellSpacing w:w="0" w:type="dxa"/>
        </w:trPr>
        <w:tc>
          <w:tcPr>
            <w:tcW w:w="1154" w:type="dxa"/>
            <w:vAlign w:val="center"/>
          </w:tcPr>
          <w:p w14:paraId="65D6CC86">
            <w:pPr>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采购人名称</w:t>
            </w:r>
          </w:p>
        </w:tc>
        <w:tc>
          <w:tcPr>
            <w:tcW w:w="5066" w:type="dxa"/>
            <w:vAlign w:val="center"/>
          </w:tcPr>
          <w:p w14:paraId="55888A05">
            <w:pPr>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南方医科大学深圳口腔医院（坪山）</w:t>
            </w:r>
          </w:p>
        </w:tc>
        <w:tc>
          <w:tcPr>
            <w:tcW w:w="1985" w:type="dxa"/>
            <w:vAlign w:val="center"/>
          </w:tcPr>
          <w:p w14:paraId="7C31C4D0">
            <w:pPr>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采购方式</w:t>
            </w:r>
          </w:p>
        </w:tc>
        <w:tc>
          <w:tcPr>
            <w:tcW w:w="2674" w:type="dxa"/>
            <w:vAlign w:val="center"/>
          </w:tcPr>
          <w:p w14:paraId="49DE0E5D">
            <w:pPr>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lang w:val="en-US" w:eastAsia="zh-CN"/>
              </w:rPr>
              <w:t>公开</w:t>
            </w:r>
            <w:r>
              <w:rPr>
                <w:rFonts w:hint="eastAsia" w:ascii="仿宋_GB2312" w:hAnsi="仿宋_GB2312" w:eastAsia="仿宋_GB2312" w:cs="仿宋_GB2312"/>
                <w:b w:val="0"/>
                <w:bCs w:val="0"/>
                <w:sz w:val="24"/>
                <w:szCs w:val="24"/>
              </w:rPr>
              <w:t>询价</w:t>
            </w:r>
          </w:p>
        </w:tc>
      </w:tr>
      <w:tr w14:paraId="69FC97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blCellSpacing w:w="0" w:type="dxa"/>
        </w:trPr>
        <w:tc>
          <w:tcPr>
            <w:tcW w:w="1154" w:type="dxa"/>
            <w:vAlign w:val="center"/>
          </w:tcPr>
          <w:p w14:paraId="0A0051E6">
            <w:pPr>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预算限额（元）</w:t>
            </w:r>
          </w:p>
        </w:tc>
        <w:tc>
          <w:tcPr>
            <w:tcW w:w="9725" w:type="dxa"/>
            <w:gridSpan w:val="3"/>
            <w:vAlign w:val="center"/>
          </w:tcPr>
          <w:p w14:paraId="1D732FFC">
            <w:pPr>
              <w:ind w:firstLine="3600" w:firstLineChars="1500"/>
              <w:jc w:val="both"/>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49000.00</w:t>
            </w:r>
          </w:p>
        </w:tc>
      </w:tr>
      <w:tr w14:paraId="2AABE3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1780" w:hRule="atLeast"/>
          <w:tblCellSpacing w:w="0" w:type="dxa"/>
        </w:trPr>
        <w:tc>
          <w:tcPr>
            <w:tcW w:w="1154" w:type="dxa"/>
            <w:vAlign w:val="center"/>
          </w:tcPr>
          <w:p w14:paraId="584DA2D5">
            <w:pPr>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项目背景</w:t>
            </w:r>
          </w:p>
        </w:tc>
        <w:tc>
          <w:tcPr>
            <w:tcW w:w="9725" w:type="dxa"/>
            <w:gridSpan w:val="3"/>
            <w:vAlign w:val="center"/>
          </w:tcPr>
          <w:p w14:paraId="5E642F74">
            <w:pPr>
              <w:ind w:left="442" w:leftChars="201" w:firstLine="489" w:firstLineChars="204"/>
              <w:jc w:val="left"/>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根据近期消防安全检查情况，我院在负一楼消防水泵房、中控室、配电房、天面风机房及厨房等重点部位，根据消防相关规定，有16个消防设施设备故障需要维修整改，现拟对这些故障隐患统一维修整改。本次维修整改旨在通过专业的消防整改，消除我院现存消防安全隐患，提升整体消防安全防范水平，保障医院日常诊疗工作稳定开展，保护就诊患者、工作人员的人身安全与医院财产安全，符合消防监管部门的相关要求，顺利完成消防核验。</w:t>
            </w:r>
          </w:p>
        </w:tc>
      </w:tr>
      <w:tr w14:paraId="4BE446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blCellSpacing w:w="0" w:type="dxa"/>
        </w:trPr>
        <w:tc>
          <w:tcPr>
            <w:tcW w:w="1154" w:type="dxa"/>
            <w:vAlign w:val="center"/>
          </w:tcPr>
          <w:p w14:paraId="47DDECB7">
            <w:pPr>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报价人资质要求</w:t>
            </w:r>
          </w:p>
        </w:tc>
        <w:tc>
          <w:tcPr>
            <w:tcW w:w="9725" w:type="dxa"/>
            <w:gridSpan w:val="3"/>
          </w:tcPr>
          <w:p w14:paraId="330C595F">
            <w:pPr>
              <w:numPr>
                <w:ilvl w:val="0"/>
                <w:numId w:val="1"/>
              </w:numPr>
              <w:spacing w:line="300" w:lineRule="exact"/>
              <w:jc w:val="left"/>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报价人必须具有独立法人资格（提供营业执照原件扫描件并加盖报价人公章）。</w:t>
            </w:r>
          </w:p>
          <w:p w14:paraId="09F72F54">
            <w:pPr>
              <w:numPr>
                <w:ilvl w:val="0"/>
                <w:numId w:val="1"/>
              </w:numPr>
              <w:spacing w:line="300" w:lineRule="exact"/>
              <w:jc w:val="left"/>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本项目不接受联合体报价，不允许分包、转包，不接受报价人选用进口产品参与报价(由报价人在《政府采购报价及履约承诺函》中做出声明）。</w:t>
            </w:r>
          </w:p>
          <w:p w14:paraId="599813AF">
            <w:pPr>
              <w:numPr>
                <w:ilvl w:val="0"/>
                <w:numId w:val="1"/>
              </w:numPr>
              <w:spacing w:line="300" w:lineRule="exact"/>
              <w:jc w:val="left"/>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报价人近三年内无行贿犯罪记录（由报价人在《政府采购报价及履约承诺函》中做出声明）。</w:t>
            </w:r>
          </w:p>
          <w:p w14:paraId="09057C98">
            <w:pPr>
              <w:numPr>
                <w:ilvl w:val="0"/>
                <w:numId w:val="1"/>
              </w:numPr>
              <w:spacing w:line="300" w:lineRule="exact"/>
              <w:jc w:val="left"/>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参与本项目的报价人未被列入“信用中国”网站(www.creditchina.gov.cn)以下情形之一：①记录失信被执行人，②重大税收违法案件当事人名单（由报价人提供“信用中国”网站①记录失信被执行人名单查询截图、②重大税收违法案件当事人名单查询截图）。</w:t>
            </w:r>
          </w:p>
          <w:p w14:paraId="5644F5AA">
            <w:pPr>
              <w:numPr>
                <w:ilvl w:val="0"/>
                <w:numId w:val="1"/>
              </w:numPr>
              <w:spacing w:line="300" w:lineRule="exact"/>
              <w:jc w:val="left"/>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参与本项目的报价人不存在被有关部门禁止参与政府采购活动且在有效期内的情况（由报价人在《政府采购报价及履约承诺函》中做出声明）。</w:t>
            </w:r>
          </w:p>
          <w:p w14:paraId="73CC4516">
            <w:pPr>
              <w:numPr>
                <w:ilvl w:val="0"/>
                <w:numId w:val="1"/>
              </w:numPr>
              <w:spacing w:line="300" w:lineRule="exact"/>
              <w:jc w:val="left"/>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的报价（</w:t>
            </w:r>
            <w:r>
              <w:rPr>
                <w:rFonts w:hint="eastAsia" w:ascii="仿宋_GB2312" w:hAnsi="仿宋_GB2312" w:eastAsia="仿宋_GB2312" w:cs="仿宋_GB2312"/>
                <w:b w:val="0"/>
                <w:bCs w:val="0"/>
                <w:sz w:val="24"/>
                <w:szCs w:val="24"/>
                <w:lang w:val="en-US" w:eastAsia="zh-CN"/>
              </w:rPr>
              <w:t>由报价人</w:t>
            </w:r>
            <w:r>
              <w:rPr>
                <w:rFonts w:hint="eastAsia" w:ascii="仿宋_GB2312" w:hAnsi="仿宋_GB2312" w:eastAsia="仿宋_GB2312" w:cs="仿宋_GB2312"/>
                <w:b w:val="0"/>
                <w:bCs w:val="0"/>
                <w:sz w:val="24"/>
                <w:szCs w:val="24"/>
              </w:rPr>
              <w:t>填写《供应商基本情况表》相关信息）。</w:t>
            </w:r>
          </w:p>
          <w:p w14:paraId="25DC45B6">
            <w:pPr>
              <w:numPr>
                <w:ilvl w:val="0"/>
                <w:numId w:val="1"/>
              </w:numPr>
              <w:spacing w:line="300" w:lineRule="exact"/>
              <w:jc w:val="left"/>
              <w:rPr>
                <w:rFonts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sz w:val="24"/>
                <w:szCs w:val="24"/>
              </w:rPr>
              <w:t>★具</w:t>
            </w:r>
            <w:r>
              <w:rPr>
                <w:rFonts w:hint="eastAsia" w:ascii="仿宋_GB2312" w:hAnsi="仿宋_GB2312" w:eastAsia="仿宋_GB2312" w:cs="仿宋_GB2312"/>
                <w:b w:val="0"/>
                <w:bCs w:val="0"/>
                <w:color w:val="auto"/>
                <w:sz w:val="24"/>
                <w:szCs w:val="24"/>
                <w:lang w:val="en-US" w:eastAsia="zh-CN"/>
              </w:rPr>
              <w:t>有消防维保资质</w:t>
            </w:r>
            <w:r>
              <w:rPr>
                <w:rFonts w:hint="eastAsia" w:ascii="仿宋_GB2312" w:hAnsi="仿宋_GB2312" w:eastAsia="仿宋_GB2312" w:cs="仿宋_GB2312"/>
                <w:b w:val="0"/>
                <w:bCs w:val="0"/>
                <w:color w:val="auto"/>
                <w:sz w:val="24"/>
                <w:szCs w:val="24"/>
              </w:rPr>
              <w:t>（社会消防技术服务信息系统</w:t>
            </w:r>
            <w:r>
              <w:rPr>
                <w:rFonts w:hint="eastAsia" w:ascii="仿宋_GB2312" w:hAnsi="仿宋_GB2312" w:eastAsia="仿宋_GB2312" w:cs="仿宋_GB2312"/>
                <w:b w:val="0"/>
                <w:bCs w:val="0"/>
                <w:color w:val="auto"/>
                <w:sz w:val="24"/>
                <w:szCs w:val="24"/>
                <w:lang w:val="en-US" w:eastAsia="zh-CN"/>
              </w:rPr>
              <w:t>上可查</w:t>
            </w:r>
            <w:r>
              <w:rPr>
                <w:rFonts w:hint="eastAsia" w:ascii="仿宋_GB2312" w:hAnsi="仿宋_GB2312" w:eastAsia="仿宋_GB2312" w:cs="仿宋_GB2312"/>
                <w:b w:val="0"/>
                <w:bCs w:val="0"/>
                <w:color w:val="auto"/>
                <w:sz w:val="24"/>
                <w:szCs w:val="24"/>
              </w:rPr>
              <w:t>）（</w:t>
            </w:r>
            <w:r>
              <w:rPr>
                <w:rFonts w:hint="eastAsia" w:ascii="仿宋_GB2312" w:hAnsi="仿宋_GB2312" w:eastAsia="仿宋_GB2312" w:cs="仿宋_GB2312"/>
                <w:b w:val="0"/>
                <w:bCs w:val="0"/>
                <w:color w:val="auto"/>
                <w:sz w:val="24"/>
                <w:szCs w:val="24"/>
                <w:lang w:val="en-US" w:eastAsia="zh-CN"/>
              </w:rPr>
              <w:t>报价</w:t>
            </w:r>
            <w:r>
              <w:rPr>
                <w:rFonts w:hint="eastAsia" w:ascii="仿宋_GB2312" w:hAnsi="仿宋_GB2312" w:eastAsia="仿宋_GB2312" w:cs="仿宋_GB2312"/>
                <w:b w:val="0"/>
                <w:bCs w:val="0"/>
                <w:color w:val="auto"/>
                <w:sz w:val="24"/>
                <w:szCs w:val="24"/>
              </w:rPr>
              <w:t>时须提供证书扫描件，原件备查）。</w:t>
            </w:r>
          </w:p>
          <w:p w14:paraId="69EE321F">
            <w:pPr>
              <w:numPr>
                <w:ilvl w:val="0"/>
                <w:numId w:val="1"/>
              </w:numPr>
              <w:spacing w:line="300" w:lineRule="exact"/>
              <w:jc w:val="left"/>
              <w:rPr>
                <w:rFonts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sz w:val="24"/>
                <w:szCs w:val="24"/>
              </w:rPr>
              <w:t>★项目经理须具备消防专业二级（或以上）注册消防师执业资格证书（</w:t>
            </w:r>
            <w:r>
              <w:rPr>
                <w:rFonts w:hint="eastAsia" w:ascii="仿宋_GB2312" w:hAnsi="仿宋_GB2312" w:eastAsia="仿宋_GB2312" w:cs="仿宋_GB2312"/>
                <w:b w:val="0"/>
                <w:bCs w:val="0"/>
                <w:color w:val="auto"/>
                <w:sz w:val="24"/>
                <w:szCs w:val="24"/>
                <w:lang w:val="en-US" w:eastAsia="zh-CN"/>
              </w:rPr>
              <w:t>报价</w:t>
            </w:r>
            <w:r>
              <w:rPr>
                <w:rFonts w:hint="eastAsia" w:ascii="仿宋_GB2312" w:hAnsi="仿宋_GB2312" w:eastAsia="仿宋_GB2312" w:cs="仿宋_GB2312"/>
                <w:b w:val="0"/>
                <w:bCs w:val="0"/>
                <w:color w:val="auto"/>
                <w:sz w:val="24"/>
                <w:szCs w:val="24"/>
              </w:rPr>
              <w:t>时须提供证书扫描件，原件备查）。</w:t>
            </w:r>
          </w:p>
          <w:p w14:paraId="0D9FA2E4">
            <w:pPr>
              <w:numPr>
                <w:ilvl w:val="0"/>
                <w:numId w:val="1"/>
              </w:numPr>
              <w:spacing w:line="300" w:lineRule="exact"/>
              <w:jc w:val="left"/>
              <w:rPr>
                <w:rFonts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sz w:val="24"/>
                <w:szCs w:val="24"/>
              </w:rPr>
              <w:t>★报价人项目团队中须配备持有安全用电、高处作业等相应特种作业操作证书</w:t>
            </w:r>
            <w:r>
              <w:rPr>
                <w:rFonts w:hint="eastAsia" w:ascii="仿宋_GB2312" w:hAnsi="仿宋_GB2312" w:eastAsia="仿宋_GB2312" w:cs="仿宋_GB2312"/>
                <w:b w:val="0"/>
                <w:bCs w:val="0"/>
                <w:color w:val="auto"/>
                <w:sz w:val="24"/>
                <w:szCs w:val="24"/>
                <w:lang w:val="en-US" w:eastAsia="zh-CN"/>
              </w:rPr>
              <w:t>的</w:t>
            </w:r>
            <w:r>
              <w:rPr>
                <w:rFonts w:hint="eastAsia" w:ascii="仿宋_GB2312" w:hAnsi="仿宋_GB2312" w:eastAsia="仿宋_GB2312" w:cs="仿宋_GB2312"/>
                <w:b w:val="0"/>
                <w:bCs w:val="0"/>
                <w:color w:val="auto"/>
                <w:sz w:val="24"/>
                <w:szCs w:val="24"/>
              </w:rPr>
              <w:t>作业人员（</w:t>
            </w:r>
            <w:r>
              <w:rPr>
                <w:rFonts w:hint="eastAsia" w:ascii="仿宋_GB2312" w:hAnsi="仿宋_GB2312" w:eastAsia="仿宋_GB2312" w:cs="仿宋_GB2312"/>
                <w:b w:val="0"/>
                <w:bCs w:val="0"/>
                <w:color w:val="auto"/>
                <w:sz w:val="24"/>
                <w:szCs w:val="24"/>
                <w:lang w:val="en-US" w:eastAsia="zh-CN"/>
              </w:rPr>
              <w:t>报价</w:t>
            </w:r>
            <w:r>
              <w:rPr>
                <w:rFonts w:hint="eastAsia" w:ascii="仿宋_GB2312" w:hAnsi="仿宋_GB2312" w:eastAsia="仿宋_GB2312" w:cs="仿宋_GB2312"/>
                <w:b w:val="0"/>
                <w:bCs w:val="0"/>
                <w:color w:val="auto"/>
                <w:sz w:val="24"/>
                <w:szCs w:val="24"/>
              </w:rPr>
              <w:t>时须提供证书扫描件，原件备查）。</w:t>
            </w:r>
          </w:p>
          <w:p w14:paraId="53A49F78">
            <w:pPr>
              <w:numPr>
                <w:ilvl w:val="0"/>
                <w:numId w:val="1"/>
              </w:numPr>
              <w:spacing w:line="300" w:lineRule="exact"/>
              <w:jc w:val="left"/>
              <w:rPr>
                <w:rFonts w:ascii="仿宋_GB2312" w:hAnsi="仿宋_GB2312" w:eastAsia="仿宋_GB2312" w:cs="仿宋_GB2312"/>
                <w:b w:val="0"/>
                <w:bCs w:val="0"/>
                <w:sz w:val="24"/>
                <w:szCs w:val="24"/>
              </w:rPr>
            </w:pPr>
            <w:r>
              <w:rPr>
                <w:rFonts w:hint="eastAsia" w:ascii="仿宋_GB2312" w:hAnsi="仿宋_GB2312" w:eastAsia="仿宋_GB2312" w:cs="仿宋_GB2312"/>
                <w:b w:val="0"/>
                <w:bCs w:val="0"/>
                <w:color w:val="auto"/>
                <w:sz w:val="24"/>
                <w:szCs w:val="24"/>
              </w:rPr>
              <w:t>★报价人须具有有效期内的质量管理体系认证证书（</w:t>
            </w:r>
            <w:r>
              <w:rPr>
                <w:rFonts w:hint="eastAsia" w:ascii="仿宋_GB2312" w:hAnsi="仿宋_GB2312" w:eastAsia="仿宋_GB2312" w:cs="仿宋_GB2312"/>
                <w:b w:val="0"/>
                <w:bCs w:val="0"/>
                <w:color w:val="auto"/>
                <w:sz w:val="24"/>
                <w:szCs w:val="24"/>
                <w:lang w:val="en-US" w:eastAsia="zh-CN"/>
              </w:rPr>
              <w:t>报价</w:t>
            </w:r>
            <w:r>
              <w:rPr>
                <w:rFonts w:hint="eastAsia" w:ascii="仿宋_GB2312" w:hAnsi="仿宋_GB2312" w:eastAsia="仿宋_GB2312" w:cs="仿宋_GB2312"/>
                <w:b w:val="0"/>
                <w:bCs w:val="0"/>
                <w:color w:val="auto"/>
                <w:sz w:val="24"/>
                <w:szCs w:val="24"/>
              </w:rPr>
              <w:t>时须提供证书扫描件，原件备查）。</w:t>
            </w:r>
          </w:p>
        </w:tc>
      </w:tr>
      <w:tr w14:paraId="1E8C0B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blCellSpacing w:w="0" w:type="dxa"/>
        </w:trPr>
        <w:tc>
          <w:tcPr>
            <w:tcW w:w="1154" w:type="dxa"/>
            <w:vAlign w:val="center"/>
          </w:tcPr>
          <w:p w14:paraId="5E5B6F08">
            <w:pPr>
              <w:rPr>
                <w:rFonts w:hint="default"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报价要求</w:t>
            </w:r>
          </w:p>
        </w:tc>
        <w:tc>
          <w:tcPr>
            <w:tcW w:w="9725" w:type="dxa"/>
            <w:gridSpan w:val="3"/>
          </w:tcPr>
          <w:p w14:paraId="7F964B08">
            <w:pPr>
              <w:numPr>
                <w:ilvl w:val="0"/>
                <w:numId w:val="2"/>
              </w:numPr>
              <w:spacing w:line="300" w:lineRule="exact"/>
              <w:jc w:val="left"/>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本的量清单的投标单价按综合单价方式进行报价；</w:t>
            </w:r>
          </w:p>
          <w:p w14:paraId="5A7C8B1D">
            <w:pPr>
              <w:numPr>
                <w:ilvl w:val="0"/>
                <w:numId w:val="2"/>
              </w:numPr>
              <w:spacing w:line="300" w:lineRule="exact"/>
              <w:jc w:val="left"/>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报价人应根据本企业的成本自行决定报价，但不得以低于其企业成本的报价投标；</w:t>
            </w:r>
          </w:p>
          <w:p w14:paraId="228F43A7">
            <w:pPr>
              <w:numPr>
                <w:ilvl w:val="0"/>
                <w:numId w:val="2"/>
              </w:numPr>
              <w:spacing w:line="300" w:lineRule="exact"/>
              <w:jc w:val="left"/>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报价人的投标报价，应包括成本、法定税费和相应的利润，应涵盖本项目招标范围和需求文件及合同条款上所列的各项内容中所述的全部，并以投标人在量清单中提出的综合单价或总价为依据；</w:t>
            </w:r>
          </w:p>
          <w:p w14:paraId="152EA1FE">
            <w:pPr>
              <w:numPr>
                <w:ilvl w:val="0"/>
                <w:numId w:val="2"/>
              </w:numPr>
              <w:spacing w:line="300" w:lineRule="exact"/>
              <w:jc w:val="left"/>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除非采购人通过修改需求文件予以更正，否则，投标人应毫无例外地按量清单中列出的项目和数量填报综合单价和合价。投标人未填综合单价或合价的项目，在实施后，将不得以支付，并视作该项费用已包括在其它有价款的综合单价或合价内；</w:t>
            </w:r>
          </w:p>
          <w:p w14:paraId="708853B7">
            <w:pPr>
              <w:numPr>
                <w:ilvl w:val="0"/>
                <w:numId w:val="2"/>
              </w:numPr>
              <w:spacing w:line="300" w:lineRule="exact"/>
              <w:jc w:val="left"/>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报价人应先到场地踏勘以充分了解场地的位置、情况、道路、储存空间、装卸限制及任何其它足以影响投标报价的情况，任何因忽视或误解场地情况而导致的索赔或工期延长申请将不获批准；各投标人在投标报价时，应充分考虑投标报价的风险。</w:t>
            </w:r>
          </w:p>
          <w:p w14:paraId="7399393D">
            <w:pPr>
              <w:numPr>
                <w:ilvl w:val="0"/>
                <w:numId w:val="2"/>
              </w:numPr>
              <w:spacing w:line="300" w:lineRule="exact"/>
              <w:jc w:val="left"/>
              <w:rPr>
                <w:rFonts w:hint="eastAsia"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sz w:val="24"/>
                <w:szCs w:val="24"/>
              </w:rPr>
              <w:t>由报价人根据招标需求自行测算投标报价；投标人投标报价总额一经中标后，即作为中标</w:t>
            </w:r>
            <w:r>
              <w:rPr>
                <w:rFonts w:hint="eastAsia" w:ascii="仿宋_GB2312" w:hAnsi="仿宋_GB2312" w:eastAsia="仿宋_GB2312" w:cs="仿宋_GB2312"/>
                <w:b w:val="0"/>
                <w:bCs w:val="0"/>
                <w:color w:val="auto"/>
                <w:sz w:val="24"/>
                <w:szCs w:val="24"/>
              </w:rPr>
              <w:t>人与采购人签订该项目合同的总价。</w:t>
            </w:r>
          </w:p>
        </w:tc>
      </w:tr>
      <w:tr w14:paraId="2553F0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2721" w:hRule="atLeast"/>
          <w:tblCellSpacing w:w="0" w:type="dxa"/>
        </w:trPr>
        <w:tc>
          <w:tcPr>
            <w:tcW w:w="1154" w:type="dxa"/>
            <w:tcBorders>
              <w:bottom w:val="single" w:color="auto" w:sz="4" w:space="0"/>
            </w:tcBorders>
            <w:vAlign w:val="center"/>
          </w:tcPr>
          <w:p w14:paraId="4C049D1D">
            <w:pPr>
              <w:pStyle w:val="4"/>
              <w:jc w:val="both"/>
              <w:rPr>
                <w:rFonts w:ascii="仿宋_GB2312" w:hAnsi="仿宋_GB2312" w:eastAsia="仿宋_GB2312" w:cs="仿宋_GB2312"/>
                <w:b w:val="0"/>
                <w:bCs w:val="0"/>
                <w:sz w:val="24"/>
                <w:szCs w:val="24"/>
              </w:rPr>
            </w:pPr>
            <w:r>
              <w:rPr>
                <w:rFonts w:hint="eastAsia" w:ascii="仿宋_GB2312" w:hAnsi="仿宋_GB2312" w:eastAsia="仿宋_GB2312" w:cs="仿宋_GB2312"/>
                <w:b w:val="0"/>
                <w:bCs w:val="0"/>
                <w:color w:val="auto"/>
                <w:sz w:val="24"/>
                <w:szCs w:val="24"/>
              </w:rPr>
              <w:t>项目目标</w:t>
            </w:r>
          </w:p>
        </w:tc>
        <w:tc>
          <w:tcPr>
            <w:tcW w:w="9725" w:type="dxa"/>
            <w:gridSpan w:val="3"/>
            <w:tcBorders>
              <w:bottom w:val="single" w:color="auto" w:sz="4" w:space="0"/>
            </w:tcBorders>
            <w:vAlign w:val="center"/>
          </w:tcPr>
          <w:p w14:paraId="197B2D99">
            <w:pPr>
              <w:pStyle w:val="4"/>
              <w:numPr>
                <w:ilvl w:val="0"/>
                <w:numId w:val="3"/>
              </w:numPr>
              <w:jc w:val="both"/>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根本目标：确保全院的消防设施设备满足相关消防安全要求。</w:t>
            </w:r>
          </w:p>
          <w:p w14:paraId="7968769E">
            <w:pPr>
              <w:pStyle w:val="4"/>
              <w:numPr>
                <w:ilvl w:val="0"/>
                <w:numId w:val="3"/>
              </w:numPr>
              <w:jc w:val="both"/>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质量目标：涉及维修整改的消防配件和材料必须满足国家相关规范标准，质保期不少于1年（或者按消防安全有关规定质保期确定，两者取质保年限较长为准）。在质保期内，出现任何非人为或不可抗力导致的故障，供应商须无偿负责彻底维修（含更换配件）。</w:t>
            </w:r>
          </w:p>
          <w:p w14:paraId="3D9D54CE">
            <w:pPr>
              <w:pStyle w:val="4"/>
              <w:numPr>
                <w:ilvl w:val="0"/>
                <w:numId w:val="3"/>
              </w:numPr>
              <w:jc w:val="both"/>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安全目标：维修整改全过程严格遵守国家安全法规及医院安全管理制度，实现“零事故、零伤害、零污染”，确保医院正常运营、医护人员及患者安全不受影响，不发生安全事故。</w:t>
            </w:r>
          </w:p>
          <w:p w14:paraId="5BABD89B">
            <w:pPr>
              <w:pStyle w:val="4"/>
              <w:numPr>
                <w:ilvl w:val="0"/>
                <w:numId w:val="3"/>
              </w:numPr>
              <w:jc w:val="both"/>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工期目标：在确保安全与质量的前提下，自接到甲方开工通知之日起，30个日历日内完成全部维修、清理及初步验收工作。</w:t>
            </w:r>
          </w:p>
        </w:tc>
      </w:tr>
      <w:tr w14:paraId="2D1ECD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90" w:hRule="atLeast"/>
          <w:tblCellSpacing w:w="0" w:type="dxa"/>
        </w:trPr>
        <w:tc>
          <w:tcPr>
            <w:tcW w:w="1154" w:type="dxa"/>
            <w:vAlign w:val="center"/>
          </w:tcPr>
          <w:p w14:paraId="10EF4873">
            <w:pPr>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w:t>
            </w:r>
            <w:r>
              <w:rPr>
                <w:rStyle w:val="13"/>
                <w:rFonts w:hint="eastAsia" w:ascii="仿宋_GB2312" w:hAnsi="仿宋_GB2312" w:eastAsia="仿宋_GB2312" w:cs="仿宋_GB2312"/>
                <w:b w:val="0"/>
                <w:bCs w:val="0"/>
                <w:color w:val="0F1115"/>
                <w:sz w:val="24"/>
                <w:szCs w:val="24"/>
                <w:shd w:val="clear" w:color="auto" w:fill="FFFFFF"/>
              </w:rPr>
              <w:t>服务内容与要求</w:t>
            </w:r>
          </w:p>
        </w:tc>
        <w:tc>
          <w:tcPr>
            <w:tcW w:w="9725" w:type="dxa"/>
            <w:gridSpan w:val="3"/>
            <w:vAlign w:val="center"/>
          </w:tcPr>
          <w:p w14:paraId="352A8A42">
            <w:pPr>
              <w:pStyle w:val="4"/>
              <w:jc w:val="both"/>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一、服务内容</w:t>
            </w:r>
          </w:p>
          <w:p w14:paraId="61D28301">
            <w:pPr>
              <w:pStyle w:val="4"/>
              <w:ind w:firstLine="480" w:firstLineChars="200"/>
              <w:jc w:val="both"/>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本次项目为消防安全隐患整改维修，开展火灾隐患点位整治、消防设施升级改造、疏散条件优化、消防安全防控体系完善等整改作业，具体内容细化如下：</w:t>
            </w:r>
          </w:p>
          <w:p w14:paraId="11B85A3B">
            <w:pPr>
              <w:pStyle w:val="4"/>
              <w:numPr>
                <w:ilvl w:val="0"/>
                <w:numId w:val="4"/>
              </w:numPr>
              <w:ind w:firstLine="480" w:firstLineChars="200"/>
              <w:jc w:val="both"/>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维修设备合规性要求</w:t>
            </w:r>
          </w:p>
          <w:p w14:paraId="5175ECC0">
            <w:pPr>
              <w:pStyle w:val="4"/>
              <w:ind w:firstLine="480" w:firstLineChars="200"/>
              <w:jc w:val="both"/>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本次维修整改所使用的消防设施器材、维修机具、检测设备、辅助作业工具等全部仪器设备，必须严格符合现行国家规范、行业技术标准（包含但不限于《建筑设计防火规范》《消防给水及消火栓系统技术规范》《火灾自动报警系统设计规范》等）。所有设备需具备有效的产品出厂合格证、第三方质量检验合格证、消防产品认证证书、计量检定/校准证书，证书在有效期内。维修整改前需向采购方提交全套设备资质文件、合格证明文件备查，严禁使用过期、不合格、老旧故障、性能不达标的设备开展整改维修作业，确保整改我维修质量合格、设施性能稳定有效。</w:t>
            </w:r>
          </w:p>
          <w:p w14:paraId="2F97FA9C">
            <w:pPr>
              <w:pStyle w:val="4"/>
              <w:ind w:firstLine="480" w:firstLineChars="200"/>
              <w:jc w:val="both"/>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2.设备权责及费用界定</w:t>
            </w:r>
          </w:p>
          <w:p w14:paraId="03E59A53">
            <w:pPr>
              <w:pStyle w:val="4"/>
              <w:ind w:firstLine="480" w:firstLineChars="200"/>
              <w:jc w:val="both"/>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本次维修整改所用全部设备、消防器材、辅助材料、耗材均由维修方全权负责采购、调配、运输、进场、安装、调试、保管及退场。无论设备器材价值高低、采购渠道、运输方式、设备权属，在本次项目服务周期内，设备器材进场、运输、存放、作业、退场过程中产生的所有费用、损耗、安全风险、损毁丢失责任、违章处罚及一切连带责任，均由维修方独立承担，采购方不承担任何费用、责任及相关兜底义务。</w:t>
            </w:r>
          </w:p>
          <w:p w14:paraId="3FF4187C">
            <w:pPr>
              <w:pStyle w:val="4"/>
              <w:ind w:firstLine="480" w:firstLineChars="200"/>
              <w:jc w:val="both"/>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3.维修整改验收签字生效机制</w:t>
            </w:r>
          </w:p>
          <w:p w14:paraId="526EACCF">
            <w:pPr>
              <w:pStyle w:val="4"/>
              <w:ind w:firstLine="480" w:firstLineChars="200"/>
              <w:jc w:val="both"/>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维修方完成现场维修整改、设施调试、隐患排查销号、成果汇总后，编制正式合规竣工验收报告。报告须经维修方具备相关专业中级及以上技术职称的在岗师审核、签字、加盖执业/项目专用章，同时由采购方现场负责人或相关管理人员签字确认后，报告方可正式生效，作为项目验收、隐患销项、交付的正式依据。无双方签字确认的验收报告视为无效成果，采购方有权不予验收、不予结算。</w:t>
            </w:r>
          </w:p>
          <w:p w14:paraId="6D9BAEC8">
            <w:pPr>
              <w:pStyle w:val="4"/>
              <w:ind w:firstLine="480" w:firstLineChars="200"/>
              <w:jc w:val="both"/>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4.履约标准</w:t>
            </w:r>
          </w:p>
          <w:p w14:paraId="43E4D015">
            <w:pPr>
              <w:pStyle w:val="4"/>
              <w:ind w:firstLine="480" w:firstLineChars="200"/>
              <w:jc w:val="both"/>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维修方需严格按照本项目报价文件、维修方案、投标承诺及国家、行业相关规范标准开展全过程整改作业，严格遵守项目工期要求、维修标准、服务规范，不得擅自缩减作业内容、降低维修质量、更改整改方案、拖延维修工期。全程履约匹配投标及合同约定的质量标准、人员配置、技术标准、成果要求，确保整改全过程合规、规范、达标。</w:t>
            </w:r>
          </w:p>
          <w:p w14:paraId="518A1AA8">
            <w:pPr>
              <w:pStyle w:val="4"/>
              <w:ind w:firstLine="480" w:firstLineChars="200"/>
              <w:jc w:val="both"/>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5.核心维修整改作业方式</w:t>
            </w:r>
          </w:p>
          <w:p w14:paraId="0123DDC7">
            <w:pPr>
              <w:pStyle w:val="4"/>
              <w:ind w:firstLine="480" w:firstLineChars="200"/>
              <w:jc w:val="both"/>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本次消防安全隐患整改统一按照规范消防维修标准作业，通过对建筑防火分区、疏散通道、安全出口、消防给水系统、火灾自动报警系统、防排烟系统、应急照明及疏散指示系统、灭火器材等消防要素全面排查整改，精准清除整改范围内违规隔断、疏散占用、设施失效、材料易燃、防控缺失等各类消防安全隐患，完成全覆盖整改、设施调试、隐患销号、功能核验、风险分级管控。整改作业遵循合规、实用、达标、全覆盖的原则，保障建筑整体消防安全条件符合现行规范要求。</w:t>
            </w:r>
          </w:p>
          <w:p w14:paraId="44E56D53">
            <w:pPr>
              <w:pStyle w:val="4"/>
              <w:ind w:firstLine="480" w:firstLineChars="200"/>
              <w:jc w:val="both"/>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6.项目预计工作量</w:t>
            </w:r>
          </w:p>
          <w:p w14:paraId="52FA9D3B">
            <w:pPr>
              <w:pStyle w:val="4"/>
              <w:ind w:firstLine="480" w:firstLineChars="200"/>
              <w:jc w:val="both"/>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本次消防实施设备问题整改覆盖总建筑面积约1.2万平方米。实际作业工作量可根据现场建筑布局、场地条件、隐患分布、采购方现场要求进行合理微调，维修方需无条件配合现场作业调整，保证整改范围无盲区、无遗漏，最终以实际合规完成的有效整改工作量为准。</w:t>
            </w:r>
          </w:p>
          <w:p w14:paraId="7B7F1FF6">
            <w:pPr>
              <w:pStyle w:val="4"/>
              <w:jc w:val="both"/>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二、总体要求</w:t>
            </w:r>
          </w:p>
          <w:p w14:paraId="6C487472">
            <w:pPr>
              <w:pStyle w:val="4"/>
              <w:ind w:firstLine="480" w:firstLineChars="200"/>
              <w:jc w:val="both"/>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为保障本次消防设施设备问题维修整改工作质量，彻底清除场地消防安全隐患，规范全过程维修及成果交付，对维修方整改工作提出以下专项要求：</w:t>
            </w:r>
          </w:p>
          <w:p w14:paraId="2089AC1E">
            <w:pPr>
              <w:pStyle w:val="4"/>
              <w:ind w:firstLine="480" w:firstLineChars="200"/>
              <w:jc w:val="both"/>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1.隐患研判及整改技术支持服务</w:t>
            </w:r>
          </w:p>
          <w:p w14:paraId="4BC4E121">
            <w:pPr>
              <w:pStyle w:val="4"/>
              <w:ind w:firstLine="480" w:firstLineChars="200"/>
              <w:jc w:val="both"/>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维修方进场完成问题排查复核工作后，需对现场建筑条件、消防设施、隐患情况进行专业研判，精准识别场地内各类消防安全风险点、隐患区域，明确隐患位置、类型、影响范围、风险等级及危害程度。针对排查发现的所有问题，需结合现场实际及行业规范，提供针对性、可落地的专项整改方案、风险管控方案、应急处置优化建议。全程配合采购方开展隐患复核、整改验收、技术答疑、现场交底工作，协助采购方完成隐患闭环销号管控。</w:t>
            </w:r>
          </w:p>
          <w:p w14:paraId="322C0A80">
            <w:pPr>
              <w:pStyle w:val="4"/>
              <w:ind w:firstLine="480" w:firstLineChars="200"/>
              <w:jc w:val="both"/>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2.验收成果交付要求</w:t>
            </w:r>
          </w:p>
          <w:p w14:paraId="12F7E2AA">
            <w:pPr>
              <w:pStyle w:val="4"/>
              <w:ind w:firstLine="480" w:firstLineChars="200"/>
              <w:jc w:val="both"/>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维修整改完成后，维修方需整理全套合规竣工验收成果，出具3份纸质版正式验收报告，同时配套提供电子版报告、隐蔽维修资料、消防设施检测报告、产品合格证明、现场影像资料。报告格式规范、内容完整、数据真实、结论严谨，包含项目概况、整改依据、设施参数、维修流程、整改内容、隐患销号清单、质量核验、风险评价、使用维护建议、验收结论等完整内容，完全满足项目归档、验收、监管、溯源要求，确保成果具备法律效力和行业合规性。</w:t>
            </w:r>
          </w:p>
          <w:p w14:paraId="415F5A39">
            <w:pPr>
              <w:pStyle w:val="4"/>
              <w:ind w:firstLine="480" w:firstLineChars="200"/>
              <w:jc w:val="both"/>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3.维修整改质量</w:t>
            </w:r>
          </w:p>
          <w:p w14:paraId="47B5C6AC">
            <w:pPr>
              <w:pStyle w:val="4"/>
              <w:ind w:firstLine="480" w:firstLineChars="200"/>
              <w:jc w:val="both"/>
            </w:pPr>
            <w:r>
              <w:rPr>
                <w:rFonts w:hint="eastAsia" w:ascii="仿宋_GB2312" w:hAnsi="仿宋_GB2312" w:eastAsia="仿宋_GB2312" w:cs="仿宋_GB2312"/>
                <w:b w:val="0"/>
                <w:bCs w:val="0"/>
                <w:sz w:val="24"/>
                <w:szCs w:val="24"/>
              </w:rPr>
              <w:t>维修方作为本项目整改维修质量、设施性能及竣工验收成果的首要责任主体，须对整改结果的真实性、准确性、完整性与有效性承担全部责任。维修过程中必须实现全面覆盖、不留盲区，杜绝漏改、少改、错判或误判，严禁任何形式的敷衍作业、质量造假及隐患隐瞒。如因整改疏漏、技术差错或成果不实，致使消防安全隐患未被消除，进而引发安全事故或造成损失，维修方须承担由此产生的全部经济责任、安全责任及相关法律责任。</w:t>
            </w:r>
          </w:p>
          <w:p w14:paraId="3B70E621">
            <w:pPr>
              <w:pStyle w:val="4"/>
              <w:ind w:firstLine="480" w:firstLineChars="200"/>
              <w:jc w:val="both"/>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4.前期现场踏勘确认要求</w:t>
            </w:r>
          </w:p>
          <w:p w14:paraId="2FB32038">
            <w:pPr>
              <w:pStyle w:val="4"/>
              <w:ind w:firstLine="480" w:firstLineChars="200"/>
              <w:jc w:val="both"/>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维修方在项目报价、方案编制前，需自主安排专业技术人员前往项目现场开展实地踏勘，全面核查现场建筑布局、场地环境、作业条件、整改范围、周边环境、原有消防设施分布、障碍物分布等实际情况，精准核对作业范围、维修难点、风险点，结合现场实际优化整改方案，合理核定维修成本及工期。维修方一经报价、签约，即视为已完全熟知现场所有工况条件，后期不得以现场条件不符、预估偏差等理由提出加价、延期、变更服务标准等诉求。</w:t>
            </w:r>
          </w:p>
          <w:p w14:paraId="40D650FB">
            <w:pPr>
              <w:pStyle w:val="4"/>
              <w:ind w:firstLine="480" w:firstLineChars="200"/>
              <w:jc w:val="both"/>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5.作业规范要求</w:t>
            </w:r>
          </w:p>
          <w:p w14:paraId="18F696C5">
            <w:pPr>
              <w:pStyle w:val="4"/>
              <w:ind w:firstLine="480" w:firstLineChars="200"/>
              <w:jc w:val="both"/>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维修方需配备持证专业技术人员、维修人员进场作业，作业人员需熟悉消防维修规范及消防安全隐患整改标准，严格遵守现场安全管理规定，落实安全作业防护措施，做到文明维修、安全作业。隐蔽维修资料需完整留存，过程检查严谨细致，全程接受采购方监督检查，积极配合采购方的现场抽查、过程核验、成果验收工作。</w:t>
            </w:r>
          </w:p>
          <w:p w14:paraId="6BC5801E">
            <w:pPr>
              <w:pStyle w:val="4"/>
              <w:ind w:firstLine="480" w:firstLineChars="200"/>
              <w:jc w:val="both"/>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6.工期及售后保障要求</w:t>
            </w:r>
          </w:p>
          <w:p w14:paraId="2889E553">
            <w:pPr>
              <w:pStyle w:val="4"/>
              <w:ind w:firstLine="480" w:firstLineChars="200"/>
              <w:jc w:val="both"/>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维修方需在合同及承诺工期内完成全部现场整改、设施调试、报告编制、成果交付工作，不得无故拖延。成果交付后，需提供长期技术售后支持，针对采购方提出的报告疑问、设施复核、隐患解读、维护指导等需求，及时提供专业答疑及技术配合服务。</w:t>
            </w:r>
          </w:p>
          <w:p w14:paraId="46C787D8">
            <w:pPr>
              <w:pStyle w:val="21"/>
              <w:spacing w:line="400" w:lineRule="exact"/>
              <w:ind w:firstLine="480"/>
              <w:jc w:val="left"/>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7.报价方须提供近三年内（以合同签订时间为准）至少1项类似消防安全改造等维修项目的业绩证明（须提供合同关键页及竣工验收证明复印件）</w:t>
            </w:r>
          </w:p>
          <w:p w14:paraId="64C2ACF6">
            <w:pPr>
              <w:pStyle w:val="21"/>
              <w:spacing w:line="400" w:lineRule="exact"/>
              <w:ind w:firstLine="480"/>
              <w:jc w:val="left"/>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注：整改范围及要求详见《消防设施设备维修整改清单》</w:t>
            </w:r>
          </w:p>
        </w:tc>
      </w:tr>
      <w:tr w14:paraId="693816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112" w:hRule="atLeast"/>
          <w:tblCellSpacing w:w="0" w:type="dxa"/>
        </w:trPr>
        <w:tc>
          <w:tcPr>
            <w:tcW w:w="1154" w:type="dxa"/>
            <w:vAlign w:val="center"/>
          </w:tcPr>
          <w:p w14:paraId="1CAA45D4">
            <w:pPr>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商务需求</w:t>
            </w:r>
          </w:p>
        </w:tc>
        <w:tc>
          <w:tcPr>
            <w:tcW w:w="9725" w:type="dxa"/>
            <w:gridSpan w:val="3"/>
            <w:vAlign w:val="center"/>
          </w:tcPr>
          <w:tbl>
            <w:tblPr>
              <w:tblStyle w:val="10"/>
              <w:tblW w:w="961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3"/>
              <w:gridCol w:w="1840"/>
              <w:gridCol w:w="6669"/>
            </w:tblGrid>
            <w:tr w14:paraId="1F766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3" w:type="dxa"/>
                  <w:vAlign w:val="center"/>
                </w:tcPr>
                <w:p w14:paraId="692ABE09">
                  <w:pPr>
                    <w:adjustRightInd w:val="0"/>
                    <w:snapToGrid w:val="0"/>
                    <w:spacing w:line="400" w:lineRule="exact"/>
                    <w:jc w:val="center"/>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序号</w:t>
                  </w:r>
                </w:p>
              </w:tc>
              <w:tc>
                <w:tcPr>
                  <w:tcW w:w="1840" w:type="dxa"/>
                  <w:vAlign w:val="center"/>
                </w:tcPr>
                <w:p w14:paraId="60D7459F">
                  <w:pPr>
                    <w:adjustRightInd w:val="0"/>
                    <w:snapToGrid w:val="0"/>
                    <w:spacing w:line="400" w:lineRule="exact"/>
                    <w:ind w:firstLine="480" w:firstLineChars="200"/>
                    <w:jc w:val="both"/>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目录</w:t>
                  </w:r>
                </w:p>
              </w:tc>
              <w:tc>
                <w:tcPr>
                  <w:tcW w:w="6669" w:type="dxa"/>
                  <w:vAlign w:val="center"/>
                </w:tcPr>
                <w:p w14:paraId="26278A34">
                  <w:pPr>
                    <w:adjustRightInd w:val="0"/>
                    <w:snapToGrid w:val="0"/>
                    <w:spacing w:line="400" w:lineRule="exact"/>
                    <w:ind w:firstLine="2640" w:firstLineChars="1100"/>
                    <w:jc w:val="both"/>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商务需求</w:t>
                  </w:r>
                </w:p>
              </w:tc>
            </w:tr>
            <w:tr w14:paraId="3089F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103" w:type="dxa"/>
                  <w:vAlign w:val="center"/>
                </w:tcPr>
                <w:p w14:paraId="33EBDDD3">
                  <w:pPr>
                    <w:adjustRightInd w:val="0"/>
                    <w:snapToGrid w:val="0"/>
                    <w:spacing w:line="400" w:lineRule="exact"/>
                    <w:ind w:firstLine="480" w:firstLineChars="200"/>
                    <w:jc w:val="both"/>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1</w:t>
                  </w:r>
                </w:p>
              </w:tc>
              <w:tc>
                <w:tcPr>
                  <w:tcW w:w="1840" w:type="dxa"/>
                  <w:vAlign w:val="center"/>
                </w:tcPr>
                <w:p w14:paraId="5851443E">
                  <w:pPr>
                    <w:adjustRightInd w:val="0"/>
                    <w:snapToGrid w:val="0"/>
                    <w:spacing w:line="400" w:lineRule="exact"/>
                    <w:jc w:val="center"/>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服务期</w:t>
                  </w:r>
                </w:p>
              </w:tc>
              <w:tc>
                <w:tcPr>
                  <w:tcW w:w="6669" w:type="dxa"/>
                </w:tcPr>
                <w:p w14:paraId="259DC951">
                  <w:pPr>
                    <w:adjustRightInd w:val="0"/>
                    <w:snapToGrid w:val="0"/>
                    <w:spacing w:line="400" w:lineRule="exact"/>
                    <w:jc w:val="left"/>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1.工期：自合同签订且接到开工通知后30个日历日完成《消防设施设备维修整改清单》所列的维修内容，</w:t>
                  </w:r>
                </w:p>
                <w:p w14:paraId="73DEB92B">
                  <w:pPr>
                    <w:adjustRightInd w:val="0"/>
                    <w:snapToGrid w:val="0"/>
                    <w:spacing w:line="400" w:lineRule="exact"/>
                    <w:jc w:val="left"/>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2.售后服务期：项目售后服务1年（或者按消防安全有关规定质保期确定，两者取质保年限较长为准）；时间自项目验收合格并交付使用之日起计算。</w:t>
                  </w:r>
                </w:p>
              </w:tc>
            </w:tr>
            <w:tr w14:paraId="31877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103" w:type="dxa"/>
                  <w:vAlign w:val="center"/>
                </w:tcPr>
                <w:p w14:paraId="548EA45B">
                  <w:pPr>
                    <w:adjustRightInd w:val="0"/>
                    <w:snapToGrid w:val="0"/>
                    <w:spacing w:line="400" w:lineRule="exact"/>
                    <w:ind w:firstLine="480" w:firstLineChars="200"/>
                    <w:jc w:val="both"/>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2</w:t>
                  </w:r>
                </w:p>
              </w:tc>
              <w:tc>
                <w:tcPr>
                  <w:tcW w:w="1840" w:type="dxa"/>
                  <w:vAlign w:val="center"/>
                </w:tcPr>
                <w:p w14:paraId="63163E24">
                  <w:pPr>
                    <w:adjustRightInd w:val="0"/>
                    <w:snapToGrid w:val="0"/>
                    <w:spacing w:line="400" w:lineRule="exact"/>
                    <w:jc w:val="center"/>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预算说明</w:t>
                  </w:r>
                </w:p>
              </w:tc>
              <w:tc>
                <w:tcPr>
                  <w:tcW w:w="6669" w:type="dxa"/>
                </w:tcPr>
                <w:p w14:paraId="62D85C8D">
                  <w:pPr>
                    <w:adjustRightInd w:val="0"/>
                    <w:snapToGrid w:val="0"/>
                    <w:spacing w:line="400" w:lineRule="exact"/>
                    <w:jc w:val="left"/>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本项目报价不允许超过本次预算限额</w:t>
                  </w:r>
                </w:p>
              </w:tc>
            </w:tr>
            <w:tr w14:paraId="753C5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103" w:type="dxa"/>
                  <w:vAlign w:val="center"/>
                </w:tcPr>
                <w:p w14:paraId="7CE40539">
                  <w:pPr>
                    <w:adjustRightInd w:val="0"/>
                    <w:snapToGrid w:val="0"/>
                    <w:spacing w:line="400" w:lineRule="exact"/>
                    <w:ind w:firstLine="480" w:firstLineChars="200"/>
                    <w:jc w:val="both"/>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3</w:t>
                  </w:r>
                </w:p>
              </w:tc>
              <w:tc>
                <w:tcPr>
                  <w:tcW w:w="1840" w:type="dxa"/>
                  <w:vAlign w:val="center"/>
                </w:tcPr>
                <w:p w14:paraId="05BFAD1B">
                  <w:pPr>
                    <w:adjustRightInd w:val="0"/>
                    <w:snapToGrid w:val="0"/>
                    <w:spacing w:line="400" w:lineRule="exact"/>
                    <w:jc w:val="center"/>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项目服务地点</w:t>
                  </w:r>
                </w:p>
              </w:tc>
              <w:tc>
                <w:tcPr>
                  <w:tcW w:w="6669" w:type="dxa"/>
                </w:tcPr>
                <w:p w14:paraId="3DAF4B57">
                  <w:pPr>
                    <w:adjustRightInd w:val="0"/>
                    <w:snapToGrid w:val="0"/>
                    <w:spacing w:line="400" w:lineRule="exact"/>
                    <w:jc w:val="left"/>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南方医科大学深圳口腔医院（坪山）</w:t>
                  </w:r>
                </w:p>
              </w:tc>
            </w:tr>
            <w:tr w14:paraId="421D4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1103" w:type="dxa"/>
                  <w:vAlign w:val="center"/>
                </w:tcPr>
                <w:p w14:paraId="7EC62605">
                  <w:pPr>
                    <w:adjustRightInd w:val="0"/>
                    <w:snapToGrid w:val="0"/>
                    <w:spacing w:line="400" w:lineRule="exact"/>
                    <w:ind w:firstLine="480" w:firstLineChars="200"/>
                    <w:jc w:val="both"/>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4</w:t>
                  </w:r>
                </w:p>
              </w:tc>
              <w:tc>
                <w:tcPr>
                  <w:tcW w:w="1840" w:type="dxa"/>
                  <w:vAlign w:val="center"/>
                </w:tcPr>
                <w:p w14:paraId="739AD3D4">
                  <w:pPr>
                    <w:adjustRightInd w:val="0"/>
                    <w:snapToGrid w:val="0"/>
                    <w:spacing w:line="400" w:lineRule="exact"/>
                    <w:jc w:val="center"/>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关于付款</w:t>
                  </w:r>
                </w:p>
              </w:tc>
              <w:tc>
                <w:tcPr>
                  <w:tcW w:w="6669" w:type="dxa"/>
                  <w:vAlign w:val="center"/>
                </w:tcPr>
                <w:p w14:paraId="644B6BDF">
                  <w:pPr>
                    <w:adjustRightInd w:val="0"/>
                    <w:snapToGrid w:val="0"/>
                    <w:spacing w:line="400" w:lineRule="exact"/>
                    <w:jc w:val="left"/>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合同签订且项目验收后支付95%，余款5%作为履约保证金。</w:t>
                  </w:r>
                </w:p>
              </w:tc>
            </w:tr>
            <w:tr w14:paraId="5665D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103" w:type="dxa"/>
                  <w:vAlign w:val="center"/>
                </w:tcPr>
                <w:p w14:paraId="7686233A">
                  <w:pPr>
                    <w:adjustRightInd w:val="0"/>
                    <w:snapToGrid w:val="0"/>
                    <w:spacing w:line="400" w:lineRule="exact"/>
                    <w:ind w:firstLine="480" w:firstLineChars="200"/>
                    <w:jc w:val="both"/>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5</w:t>
                  </w:r>
                </w:p>
              </w:tc>
              <w:tc>
                <w:tcPr>
                  <w:tcW w:w="1840" w:type="dxa"/>
                  <w:vAlign w:val="center"/>
                </w:tcPr>
                <w:p w14:paraId="56042383">
                  <w:pPr>
                    <w:adjustRightInd w:val="0"/>
                    <w:snapToGrid w:val="0"/>
                    <w:spacing w:line="400" w:lineRule="exact"/>
                    <w:jc w:val="center"/>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关于验收</w:t>
                  </w:r>
                </w:p>
              </w:tc>
              <w:tc>
                <w:tcPr>
                  <w:tcW w:w="6669" w:type="dxa"/>
                </w:tcPr>
                <w:p w14:paraId="55D1638D">
                  <w:pPr>
                    <w:adjustRightInd w:val="0"/>
                    <w:snapToGrid w:val="0"/>
                    <w:spacing w:line="400" w:lineRule="exact"/>
                    <w:jc w:val="left"/>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按工期要求完成项目维修服务后，承建方提出验收要求，采购方5个工作日内进行响应，并开展验收工作。</w:t>
                  </w:r>
                </w:p>
              </w:tc>
            </w:tr>
            <w:tr w14:paraId="6A581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103" w:type="dxa"/>
                  <w:vAlign w:val="center"/>
                </w:tcPr>
                <w:p w14:paraId="46ADBB8C">
                  <w:pPr>
                    <w:adjustRightInd w:val="0"/>
                    <w:snapToGrid w:val="0"/>
                    <w:spacing w:line="400" w:lineRule="exact"/>
                    <w:ind w:firstLine="480" w:firstLineChars="200"/>
                    <w:jc w:val="both"/>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6</w:t>
                  </w:r>
                </w:p>
              </w:tc>
              <w:tc>
                <w:tcPr>
                  <w:tcW w:w="1840" w:type="dxa"/>
                  <w:vAlign w:val="center"/>
                </w:tcPr>
                <w:p w14:paraId="5BADF095">
                  <w:pPr>
                    <w:adjustRightInd w:val="0"/>
                    <w:snapToGrid w:val="0"/>
                    <w:spacing w:line="400" w:lineRule="exact"/>
                    <w:jc w:val="center"/>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其他要求</w:t>
                  </w:r>
                </w:p>
              </w:tc>
              <w:tc>
                <w:tcPr>
                  <w:tcW w:w="6669" w:type="dxa"/>
                  <w:vAlign w:val="center"/>
                </w:tcPr>
                <w:p w14:paraId="203B33A3">
                  <w:pPr>
                    <w:adjustRightInd w:val="0"/>
                    <w:snapToGrid w:val="0"/>
                    <w:spacing w:line="400" w:lineRule="exact"/>
                    <w:jc w:val="left"/>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供应商必须承担为完成本次维修服务所涉及的货物运输、安装等义务。</w:t>
                  </w:r>
                </w:p>
              </w:tc>
            </w:tr>
          </w:tbl>
          <w:p w14:paraId="2D8DDB2D">
            <w:pPr>
              <w:rPr>
                <w:rFonts w:ascii="仿宋_GB2312" w:hAnsi="仿宋_GB2312" w:eastAsia="仿宋_GB2312" w:cs="仿宋_GB2312"/>
                <w:b w:val="0"/>
                <w:bCs w:val="0"/>
                <w:sz w:val="24"/>
                <w:szCs w:val="24"/>
              </w:rPr>
            </w:pPr>
          </w:p>
        </w:tc>
      </w:tr>
      <w:tr w14:paraId="77798D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blCellSpacing w:w="0" w:type="dxa"/>
        </w:trPr>
        <w:tc>
          <w:tcPr>
            <w:tcW w:w="1154" w:type="dxa"/>
            <w:vAlign w:val="center"/>
          </w:tcPr>
          <w:p w14:paraId="316BC812">
            <w:pPr>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注意事项</w:t>
            </w:r>
          </w:p>
        </w:tc>
        <w:tc>
          <w:tcPr>
            <w:tcW w:w="9725" w:type="dxa"/>
            <w:gridSpan w:val="3"/>
            <w:vAlign w:val="center"/>
          </w:tcPr>
          <w:p w14:paraId="33E90C40">
            <w:pPr>
              <w:numPr>
                <w:ilvl w:val="0"/>
                <w:numId w:val="5"/>
              </w:numPr>
              <w:jc w:val="left"/>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需求中打★号的为必须满足项，报价方需在报价文件中做出承诺满足该要求，若报价方中标后无法执行，采购方有权撤销报价方的中标资质，撤销已签订的合同，并追究报价方的法律责任。</w:t>
            </w:r>
          </w:p>
          <w:p w14:paraId="2269F781">
            <w:pPr>
              <w:numPr>
                <w:ilvl w:val="0"/>
                <w:numId w:val="5"/>
              </w:numPr>
              <w:jc w:val="left"/>
              <w:rPr>
                <w:rFonts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定标方式：满</w:t>
            </w:r>
            <w:bookmarkStart w:id="4" w:name="_GoBack"/>
            <w:bookmarkEnd w:id="4"/>
            <w:r>
              <w:rPr>
                <w:rFonts w:hint="eastAsia" w:ascii="仿宋_GB2312" w:hAnsi="仿宋_GB2312" w:eastAsia="仿宋_GB2312" w:cs="仿宋_GB2312"/>
                <w:b w:val="0"/>
                <w:bCs w:val="0"/>
                <w:sz w:val="24"/>
                <w:szCs w:val="24"/>
              </w:rPr>
              <w:t>足本项目实质性需求以及项目目标的前提下，低价中标。</w:t>
            </w:r>
          </w:p>
        </w:tc>
      </w:tr>
    </w:tbl>
    <w:p w14:paraId="270A26F7"/>
    <w:p w14:paraId="2ED9865E"/>
    <w:p w14:paraId="07007FEA"/>
    <w:p w14:paraId="49DA16D1">
      <w:pPr>
        <w:jc w:val="both"/>
      </w:pPr>
    </w:p>
    <w:p w14:paraId="43B1E2C1">
      <w:pPr>
        <w:jc w:val="both"/>
      </w:pPr>
    </w:p>
    <w:p w14:paraId="05A44D31">
      <w:pPr>
        <w:jc w:val="both"/>
      </w:pPr>
    </w:p>
    <w:p w14:paraId="5FBA05FE">
      <w:pPr>
        <w:jc w:val="both"/>
        <w:rPr>
          <w:rFonts w:hint="eastAsia"/>
        </w:rPr>
      </w:pPr>
    </w:p>
    <w:p w14:paraId="7FD98DD8">
      <w:pPr>
        <w:jc w:val="both"/>
        <w:rPr>
          <w:rFonts w:hint="eastAsia"/>
        </w:rPr>
      </w:pPr>
    </w:p>
    <w:p w14:paraId="1EF352BD">
      <w:pPr>
        <w:jc w:val="both"/>
        <w:rPr>
          <w:rFonts w:hint="eastAsia"/>
        </w:rPr>
      </w:pPr>
    </w:p>
    <w:p w14:paraId="62046523">
      <w:pPr>
        <w:jc w:val="both"/>
        <w:rPr>
          <w:rFonts w:hint="eastAsia"/>
        </w:rPr>
      </w:pPr>
    </w:p>
    <w:p w14:paraId="32597529">
      <w:pPr>
        <w:jc w:val="both"/>
        <w:rPr>
          <w:rFonts w:hint="eastAsia"/>
        </w:rPr>
      </w:pPr>
    </w:p>
    <w:p w14:paraId="0DA157A6">
      <w:pPr>
        <w:jc w:val="both"/>
        <w:rPr>
          <w:rFonts w:hint="eastAsia"/>
        </w:rPr>
      </w:pPr>
    </w:p>
    <w:p w14:paraId="2F4A23A3">
      <w:pPr>
        <w:jc w:val="both"/>
      </w:pPr>
    </w:p>
    <w:p w14:paraId="7638FA31">
      <w:pPr>
        <w:jc w:val="both"/>
      </w:pPr>
    </w:p>
    <w:p w14:paraId="7DB928C6">
      <w:pPr>
        <w:jc w:val="both"/>
      </w:pPr>
    </w:p>
    <w:p w14:paraId="757AF060">
      <w:pPr>
        <w:jc w:val="both"/>
      </w:pPr>
    </w:p>
    <w:p w14:paraId="328FCB48">
      <w:pPr>
        <w:jc w:val="both"/>
      </w:pPr>
    </w:p>
    <w:p w14:paraId="35E54E9C">
      <w:pPr>
        <w:jc w:val="both"/>
      </w:pPr>
    </w:p>
    <w:tbl>
      <w:tblPr>
        <w:tblStyle w:val="10"/>
        <w:tblW w:w="10679" w:type="dxa"/>
        <w:jc w:val="center"/>
        <w:tblLayout w:type="autofit"/>
        <w:tblCellMar>
          <w:top w:w="0" w:type="dxa"/>
          <w:left w:w="108" w:type="dxa"/>
          <w:bottom w:w="0" w:type="dxa"/>
          <w:right w:w="108" w:type="dxa"/>
        </w:tblCellMar>
      </w:tblPr>
      <w:tblGrid>
        <w:gridCol w:w="631"/>
        <w:gridCol w:w="1100"/>
        <w:gridCol w:w="696"/>
        <w:gridCol w:w="1504"/>
        <w:gridCol w:w="2136"/>
        <w:gridCol w:w="1763"/>
        <w:gridCol w:w="2849"/>
      </w:tblGrid>
      <w:tr w14:paraId="015690F2">
        <w:tblPrEx>
          <w:tblCellMar>
            <w:top w:w="0" w:type="dxa"/>
            <w:left w:w="108" w:type="dxa"/>
            <w:bottom w:w="0" w:type="dxa"/>
            <w:right w:w="108" w:type="dxa"/>
          </w:tblCellMar>
        </w:tblPrEx>
        <w:trPr>
          <w:tblHeader/>
          <w:jc w:val="center"/>
        </w:trPr>
        <w:tc>
          <w:tcPr>
            <w:tcW w:w="10679"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81589">
            <w:pPr>
              <w:snapToGrid w:val="0"/>
              <w:textAlignment w:val="center"/>
              <w:rPr>
                <w:rFonts w:cs="宋体"/>
                <w:sz w:val="28"/>
                <w:szCs w:val="28"/>
              </w:rPr>
            </w:pPr>
            <w:bookmarkStart w:id="2" w:name="OLE_LINK22"/>
            <w:bookmarkStart w:id="3" w:name="OLE_LINK23"/>
            <w:r>
              <w:rPr>
                <w:rFonts w:hint="eastAsia" w:cs="宋体"/>
                <w:sz w:val="28"/>
                <w:szCs w:val="28"/>
                <w:lang w:bidi="ar"/>
              </w:rPr>
              <w:t>消防设施设备维修整改清单</w:t>
            </w:r>
            <w:bookmarkEnd w:id="2"/>
            <w:bookmarkEnd w:id="3"/>
          </w:p>
        </w:tc>
      </w:tr>
      <w:tr w14:paraId="39F8AD72">
        <w:tblPrEx>
          <w:tblCellMar>
            <w:top w:w="0" w:type="dxa"/>
            <w:left w:w="108" w:type="dxa"/>
            <w:bottom w:w="0" w:type="dxa"/>
            <w:right w:w="108" w:type="dxa"/>
          </w:tblCellMar>
        </w:tblPrEx>
        <w:trPr>
          <w:tblHeader/>
          <w:jc w:val="center"/>
        </w:trPr>
        <w:tc>
          <w:tcPr>
            <w:tcW w:w="6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1C868">
            <w:pPr>
              <w:snapToGrid w:val="0"/>
              <w:textAlignment w:val="center"/>
              <w:rPr>
                <w:rFonts w:cs="宋体"/>
              </w:rPr>
            </w:pPr>
            <w:r>
              <w:rPr>
                <w:rFonts w:hint="eastAsia" w:cs="宋体"/>
                <w:lang w:bidi="ar"/>
              </w:rPr>
              <w:t>序号</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6913A">
            <w:pPr>
              <w:snapToGrid w:val="0"/>
              <w:textAlignment w:val="center"/>
              <w:rPr>
                <w:rFonts w:cs="宋体"/>
              </w:rPr>
            </w:pPr>
            <w:r>
              <w:rPr>
                <w:rFonts w:hint="eastAsia" w:cs="宋体"/>
                <w:lang w:bidi="ar"/>
              </w:rPr>
              <w:t>系统类别</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8390E">
            <w:pPr>
              <w:snapToGrid w:val="0"/>
              <w:textAlignment w:val="center"/>
              <w:rPr>
                <w:rFonts w:cs="宋体"/>
              </w:rPr>
            </w:pPr>
            <w:r>
              <w:rPr>
                <w:rFonts w:hint="eastAsia" w:cs="宋体"/>
                <w:lang w:bidi="ar"/>
              </w:rPr>
              <w:t>现场位置</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AE3A7">
            <w:pPr>
              <w:snapToGrid w:val="0"/>
              <w:textAlignment w:val="center"/>
              <w:rPr>
                <w:rFonts w:cs="宋体"/>
              </w:rPr>
            </w:pPr>
            <w:r>
              <w:rPr>
                <w:rFonts w:hint="eastAsia" w:cs="宋体"/>
                <w:lang w:bidi="ar"/>
              </w:rPr>
              <w:t>问题描述</w:t>
            </w: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BFCEC">
            <w:pPr>
              <w:snapToGrid w:val="0"/>
              <w:textAlignment w:val="center"/>
              <w:rPr>
                <w:rFonts w:cs="宋体"/>
              </w:rPr>
            </w:pPr>
            <w:r>
              <w:rPr>
                <w:rFonts w:hint="eastAsia" w:cs="宋体"/>
                <w:lang w:bidi="ar"/>
              </w:rPr>
              <w:t>图片</w:t>
            </w:r>
          </w:p>
        </w:tc>
        <w:tc>
          <w:tcPr>
            <w:tcW w:w="1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43F07">
            <w:pPr>
              <w:snapToGrid w:val="0"/>
              <w:textAlignment w:val="center"/>
              <w:rPr>
                <w:rFonts w:cs="宋体"/>
              </w:rPr>
            </w:pPr>
            <w:r>
              <w:rPr>
                <w:rFonts w:hint="eastAsia" w:cs="宋体"/>
                <w:lang w:bidi="ar"/>
              </w:rPr>
              <w:t>整改措施</w:t>
            </w:r>
          </w:p>
        </w:tc>
        <w:tc>
          <w:tcPr>
            <w:tcW w:w="28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B2F36">
            <w:pPr>
              <w:snapToGrid w:val="0"/>
              <w:textAlignment w:val="center"/>
              <w:rPr>
                <w:rFonts w:cs="宋体"/>
              </w:rPr>
            </w:pPr>
            <w:r>
              <w:rPr>
                <w:rFonts w:hint="eastAsia" w:cs="宋体"/>
                <w:lang w:bidi="ar"/>
              </w:rPr>
              <w:t>规范设置要求</w:t>
            </w:r>
          </w:p>
        </w:tc>
      </w:tr>
      <w:tr w14:paraId="04387D85">
        <w:tblPrEx>
          <w:tblCellMar>
            <w:top w:w="0" w:type="dxa"/>
            <w:left w:w="108" w:type="dxa"/>
            <w:bottom w:w="0" w:type="dxa"/>
            <w:right w:w="108" w:type="dxa"/>
          </w:tblCellMar>
        </w:tblPrEx>
        <w:trPr>
          <w:jc w:val="center"/>
        </w:trPr>
        <w:tc>
          <w:tcPr>
            <w:tcW w:w="6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38D6A4">
            <w:pPr>
              <w:snapToGrid w:val="0"/>
              <w:textAlignment w:val="center"/>
              <w:rPr>
                <w:rFonts w:cs="宋体"/>
              </w:rPr>
            </w:pPr>
            <w:r>
              <w:rPr>
                <w:rFonts w:hint="eastAsia" w:cs="宋体"/>
                <w:lang w:bidi="ar"/>
              </w:rPr>
              <w:t>1</w:t>
            </w:r>
          </w:p>
        </w:tc>
        <w:tc>
          <w:tcPr>
            <w:tcW w:w="11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E7F3AD">
            <w:pPr>
              <w:snapToGrid w:val="0"/>
              <w:textAlignment w:val="center"/>
              <w:rPr>
                <w:rFonts w:cs="宋体"/>
                <w:sz w:val="18"/>
                <w:szCs w:val="18"/>
              </w:rPr>
            </w:pPr>
            <w:r>
              <w:rPr>
                <w:rFonts w:hint="eastAsia" w:cs="宋体"/>
                <w:sz w:val="18"/>
                <w:szCs w:val="18"/>
                <w:lang w:bidi="ar"/>
              </w:rPr>
              <w:t>火灾报警系统</w:t>
            </w:r>
          </w:p>
        </w:tc>
        <w:tc>
          <w:tcPr>
            <w:tcW w:w="6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0E70A9">
            <w:pPr>
              <w:snapToGrid w:val="0"/>
              <w:textAlignment w:val="center"/>
              <w:rPr>
                <w:rFonts w:cs="宋体"/>
                <w:sz w:val="18"/>
                <w:szCs w:val="18"/>
              </w:rPr>
            </w:pPr>
            <w:r>
              <w:rPr>
                <w:rFonts w:hint="eastAsia" w:cs="宋体"/>
                <w:sz w:val="18"/>
                <w:szCs w:val="18"/>
                <w:lang w:bidi="ar"/>
              </w:rPr>
              <w:t>负1层</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E1C320">
            <w:pPr>
              <w:snapToGrid w:val="0"/>
              <w:textAlignment w:val="center"/>
              <w:rPr>
                <w:rFonts w:cs="宋体"/>
                <w:sz w:val="18"/>
                <w:szCs w:val="18"/>
              </w:rPr>
            </w:pPr>
            <w:r>
              <w:rPr>
                <w:rFonts w:hint="eastAsia" w:cs="宋体"/>
                <w:sz w:val="18"/>
                <w:szCs w:val="18"/>
                <w:lang w:bidi="ar"/>
              </w:rPr>
              <w:t>地下室11号车位附近3个设备房（2个污水设备房和正负压机房）缺烟感报警，纯水房烟感位置不对</w:t>
            </w:r>
          </w:p>
        </w:tc>
        <w:tc>
          <w:tcPr>
            <w:tcW w:w="21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14FAA9">
            <w:pPr>
              <w:snapToGrid w:val="0"/>
              <w:textAlignment w:val="center"/>
              <w:rPr>
                <w:rFonts w:cs="宋体"/>
                <w:sz w:val="18"/>
                <w:szCs w:val="18"/>
              </w:rPr>
            </w:pPr>
            <w:r>
              <w:rPr>
                <w:rFonts w:hint="eastAsia" w:cs="宋体"/>
                <w:sz w:val="18"/>
                <w:szCs w:val="18"/>
              </w:rPr>
              <w:drawing>
                <wp:inline distT="0" distB="0" distL="114300" distR="114300">
                  <wp:extent cx="952500" cy="1266825"/>
                  <wp:effectExtent l="0" t="0" r="0" b="9525"/>
                  <wp:docPr id="5"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IMG_256"/>
                          <pic:cNvPicPr>
                            <a:picLocks noChangeAspect="1"/>
                          </pic:cNvPicPr>
                        </pic:nvPicPr>
                        <pic:blipFill>
                          <a:blip r:embed="rId4"/>
                          <a:stretch>
                            <a:fillRect/>
                          </a:stretch>
                        </pic:blipFill>
                        <pic:spPr>
                          <a:xfrm>
                            <a:off x="0" y="0"/>
                            <a:ext cx="952500" cy="1266825"/>
                          </a:xfrm>
                          <a:prstGeom prst="rect">
                            <a:avLst/>
                          </a:prstGeom>
                          <a:noFill/>
                          <a:ln w="9525">
                            <a:noFill/>
                          </a:ln>
                        </pic:spPr>
                      </pic:pic>
                    </a:graphicData>
                  </a:graphic>
                </wp:inline>
              </w:drawing>
            </w:r>
          </w:p>
        </w:tc>
        <w:tc>
          <w:tcPr>
            <w:tcW w:w="1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AF08FA">
            <w:pPr>
              <w:snapToGrid w:val="0"/>
              <w:jc w:val="left"/>
              <w:textAlignment w:val="center"/>
              <w:rPr>
                <w:rFonts w:cs="宋体"/>
                <w:sz w:val="16"/>
                <w:szCs w:val="16"/>
              </w:rPr>
            </w:pPr>
            <w:r>
              <w:rPr>
                <w:rFonts w:hint="eastAsia" w:cs="宋体"/>
                <w:sz w:val="16"/>
                <w:szCs w:val="16"/>
                <w:lang w:bidi="ar"/>
              </w:rPr>
              <w:t>3个设备房间各增加1个烟感并接入中控主机、纯水房烟感移位。</w:t>
            </w:r>
          </w:p>
        </w:tc>
        <w:tc>
          <w:tcPr>
            <w:tcW w:w="28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A1830B">
            <w:pPr>
              <w:snapToGrid w:val="0"/>
              <w:jc w:val="left"/>
              <w:textAlignment w:val="center"/>
              <w:rPr>
                <w:rFonts w:cs="宋体"/>
                <w:sz w:val="16"/>
                <w:szCs w:val="16"/>
              </w:rPr>
            </w:pPr>
            <w:r>
              <w:rPr>
                <w:rFonts w:hint="eastAsia" w:cs="宋体"/>
                <w:sz w:val="16"/>
                <w:szCs w:val="16"/>
                <w:lang w:bidi="ar"/>
              </w:rPr>
              <w:t>火灾自动报警系统设计规范 GB50116-2013 &gt;，6.2 火灾探测器的设置，6.2.2 点型火灾探测器的设置应符合下列规定：</w:t>
            </w:r>
            <w:r>
              <w:rPr>
                <w:rFonts w:hint="eastAsia" w:cs="宋体"/>
                <w:sz w:val="16"/>
                <w:szCs w:val="16"/>
                <w:lang w:bidi="ar"/>
              </w:rPr>
              <w:br w:type="textWrapping"/>
            </w:r>
            <w:r>
              <w:rPr>
                <w:rFonts w:hint="eastAsia" w:cs="宋体"/>
                <w:sz w:val="16"/>
                <w:szCs w:val="16"/>
                <w:lang w:bidi="ar"/>
              </w:rPr>
              <w:t xml:space="preserve">    1 探测区域的每个房间应至少设置一只火灾探测器。</w:t>
            </w:r>
          </w:p>
        </w:tc>
      </w:tr>
      <w:tr w14:paraId="4134DEF9">
        <w:tblPrEx>
          <w:tblCellMar>
            <w:top w:w="0" w:type="dxa"/>
            <w:left w:w="108" w:type="dxa"/>
            <w:bottom w:w="0" w:type="dxa"/>
            <w:right w:w="108" w:type="dxa"/>
          </w:tblCellMar>
        </w:tblPrEx>
        <w:trPr>
          <w:jc w:val="center"/>
        </w:trPr>
        <w:tc>
          <w:tcPr>
            <w:tcW w:w="6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DF6425">
            <w:pPr>
              <w:snapToGrid w:val="0"/>
              <w:textAlignment w:val="center"/>
              <w:rPr>
                <w:rFonts w:cs="宋体"/>
              </w:rPr>
            </w:pPr>
            <w:r>
              <w:rPr>
                <w:rFonts w:hint="eastAsia" w:cs="宋体"/>
                <w:lang w:bidi="ar"/>
              </w:rPr>
              <w:t>2</w:t>
            </w:r>
          </w:p>
        </w:tc>
        <w:tc>
          <w:tcPr>
            <w:tcW w:w="11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5E5501">
            <w:pPr>
              <w:snapToGrid w:val="0"/>
              <w:textAlignment w:val="center"/>
              <w:rPr>
                <w:rFonts w:cs="宋体"/>
                <w:sz w:val="18"/>
                <w:szCs w:val="18"/>
              </w:rPr>
            </w:pPr>
            <w:r>
              <w:rPr>
                <w:rFonts w:hint="eastAsia" w:cs="宋体"/>
                <w:sz w:val="18"/>
                <w:szCs w:val="18"/>
                <w:lang w:bidi="ar"/>
              </w:rPr>
              <w:t>消防供水设施</w:t>
            </w:r>
          </w:p>
        </w:tc>
        <w:tc>
          <w:tcPr>
            <w:tcW w:w="6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61FAED">
            <w:pPr>
              <w:snapToGrid w:val="0"/>
              <w:textAlignment w:val="center"/>
              <w:rPr>
                <w:rFonts w:cs="宋体"/>
                <w:sz w:val="18"/>
                <w:szCs w:val="18"/>
              </w:rPr>
            </w:pPr>
            <w:r>
              <w:rPr>
                <w:rFonts w:hint="eastAsia" w:cs="宋体"/>
                <w:sz w:val="18"/>
                <w:szCs w:val="18"/>
                <w:lang w:bidi="ar"/>
              </w:rPr>
              <w:t>负1层</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C04331">
            <w:pPr>
              <w:snapToGrid w:val="0"/>
              <w:jc w:val="left"/>
              <w:textAlignment w:val="center"/>
              <w:rPr>
                <w:rFonts w:cs="宋体"/>
                <w:sz w:val="18"/>
                <w:szCs w:val="18"/>
              </w:rPr>
            </w:pPr>
            <w:r>
              <w:rPr>
                <w:rFonts w:hint="eastAsia" w:cs="宋体"/>
                <w:sz w:val="18"/>
                <w:szCs w:val="18"/>
                <w:lang w:bidi="ar"/>
              </w:rPr>
              <w:t>6条主管道的压力表安装位置错误</w:t>
            </w:r>
          </w:p>
        </w:tc>
        <w:tc>
          <w:tcPr>
            <w:tcW w:w="21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2C3131">
            <w:pPr>
              <w:snapToGrid w:val="0"/>
              <w:textAlignment w:val="center"/>
              <w:rPr>
                <w:rFonts w:cs="宋体"/>
                <w:sz w:val="18"/>
                <w:szCs w:val="18"/>
              </w:rPr>
            </w:pPr>
            <w:r>
              <w:rPr>
                <w:rFonts w:hint="eastAsia" w:cs="宋体"/>
                <w:sz w:val="18"/>
                <w:szCs w:val="18"/>
              </w:rPr>
              <w:drawing>
                <wp:inline distT="0" distB="0" distL="114300" distR="114300">
                  <wp:extent cx="952500" cy="1266825"/>
                  <wp:effectExtent l="0" t="0" r="0" b="9525"/>
                  <wp:docPr id="1"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IMG_257"/>
                          <pic:cNvPicPr>
                            <a:picLocks noChangeAspect="1"/>
                          </pic:cNvPicPr>
                        </pic:nvPicPr>
                        <pic:blipFill>
                          <a:blip r:embed="rId5"/>
                          <a:stretch>
                            <a:fillRect/>
                          </a:stretch>
                        </pic:blipFill>
                        <pic:spPr>
                          <a:xfrm>
                            <a:off x="0" y="0"/>
                            <a:ext cx="952500" cy="1266825"/>
                          </a:xfrm>
                          <a:prstGeom prst="rect">
                            <a:avLst/>
                          </a:prstGeom>
                          <a:noFill/>
                          <a:ln w="9525">
                            <a:noFill/>
                          </a:ln>
                        </pic:spPr>
                      </pic:pic>
                    </a:graphicData>
                  </a:graphic>
                </wp:inline>
              </w:drawing>
            </w:r>
          </w:p>
        </w:tc>
        <w:tc>
          <w:tcPr>
            <w:tcW w:w="1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DF8756">
            <w:pPr>
              <w:snapToGrid w:val="0"/>
              <w:jc w:val="left"/>
              <w:textAlignment w:val="center"/>
              <w:rPr>
                <w:rFonts w:cs="宋体"/>
                <w:sz w:val="18"/>
                <w:szCs w:val="18"/>
              </w:rPr>
            </w:pPr>
            <w:r>
              <w:rPr>
                <w:rFonts w:hint="eastAsia" w:cs="宋体"/>
                <w:sz w:val="18"/>
                <w:szCs w:val="18"/>
                <w:lang w:bidi="ar"/>
              </w:rPr>
              <w:t>将6条主管道的压力表重新装到正确部位</w:t>
            </w:r>
          </w:p>
        </w:tc>
        <w:tc>
          <w:tcPr>
            <w:tcW w:w="28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7D8605">
            <w:pPr>
              <w:snapToGrid w:val="0"/>
              <w:jc w:val="left"/>
              <w:textAlignment w:val="center"/>
              <w:rPr>
                <w:rFonts w:cs="宋体"/>
                <w:sz w:val="18"/>
                <w:szCs w:val="18"/>
              </w:rPr>
            </w:pPr>
            <w:r>
              <w:rPr>
                <w:rFonts w:hint="eastAsia" w:cs="宋体"/>
                <w:sz w:val="18"/>
                <w:szCs w:val="18"/>
                <w:lang w:bidi="ar"/>
              </w:rPr>
              <w:t>消防给水及消火栓系统技术规范 GB50974-2014 5.1 消防水泵5.1.17 消防水泵吸水管和出水管上应设置压力表，</w:t>
            </w:r>
          </w:p>
        </w:tc>
      </w:tr>
      <w:tr w14:paraId="31786076">
        <w:tblPrEx>
          <w:tblCellMar>
            <w:top w:w="0" w:type="dxa"/>
            <w:left w:w="108" w:type="dxa"/>
            <w:bottom w:w="0" w:type="dxa"/>
            <w:right w:w="108" w:type="dxa"/>
          </w:tblCellMar>
        </w:tblPrEx>
        <w:trPr>
          <w:jc w:val="center"/>
        </w:trPr>
        <w:tc>
          <w:tcPr>
            <w:tcW w:w="6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910D28">
            <w:pPr>
              <w:snapToGrid w:val="0"/>
              <w:textAlignment w:val="center"/>
              <w:rPr>
                <w:rFonts w:cs="宋体"/>
              </w:rPr>
            </w:pPr>
            <w:r>
              <w:rPr>
                <w:rFonts w:hint="eastAsia" w:cs="宋体"/>
                <w:lang w:bidi="ar"/>
              </w:rPr>
              <w:t>3</w:t>
            </w:r>
          </w:p>
        </w:tc>
        <w:tc>
          <w:tcPr>
            <w:tcW w:w="11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2D09AC">
            <w:pPr>
              <w:snapToGrid w:val="0"/>
              <w:textAlignment w:val="center"/>
              <w:rPr>
                <w:rFonts w:cs="宋体"/>
                <w:sz w:val="18"/>
                <w:szCs w:val="18"/>
              </w:rPr>
            </w:pPr>
            <w:r>
              <w:rPr>
                <w:rFonts w:hint="eastAsia" w:cs="宋体"/>
                <w:sz w:val="18"/>
                <w:szCs w:val="18"/>
                <w:lang w:bidi="ar"/>
              </w:rPr>
              <w:t>消防供水设施</w:t>
            </w:r>
          </w:p>
        </w:tc>
        <w:tc>
          <w:tcPr>
            <w:tcW w:w="6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08A18D">
            <w:pPr>
              <w:snapToGrid w:val="0"/>
              <w:textAlignment w:val="center"/>
              <w:rPr>
                <w:rFonts w:cs="宋体"/>
                <w:sz w:val="18"/>
                <w:szCs w:val="18"/>
              </w:rPr>
            </w:pPr>
            <w:r>
              <w:rPr>
                <w:rFonts w:hint="eastAsia" w:cs="宋体"/>
                <w:sz w:val="18"/>
                <w:szCs w:val="18"/>
                <w:lang w:bidi="ar"/>
              </w:rPr>
              <w:t>负1层</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65390E">
            <w:pPr>
              <w:snapToGrid w:val="0"/>
              <w:textAlignment w:val="center"/>
              <w:rPr>
                <w:rFonts w:cs="宋体"/>
                <w:sz w:val="18"/>
                <w:szCs w:val="18"/>
              </w:rPr>
            </w:pPr>
            <w:r>
              <w:rPr>
                <w:rFonts w:hint="eastAsia" w:cs="宋体"/>
                <w:sz w:val="18"/>
                <w:szCs w:val="18"/>
                <w:lang w:bidi="ar"/>
              </w:rPr>
              <w:t>消防水泵房4个水锤消除器损坏失效</w:t>
            </w:r>
          </w:p>
        </w:tc>
        <w:tc>
          <w:tcPr>
            <w:tcW w:w="21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30D1E5">
            <w:pPr>
              <w:snapToGrid w:val="0"/>
              <w:textAlignment w:val="center"/>
              <w:rPr>
                <w:rFonts w:cs="宋体"/>
                <w:sz w:val="18"/>
                <w:szCs w:val="18"/>
              </w:rPr>
            </w:pPr>
            <w:r>
              <w:rPr>
                <w:rFonts w:hint="eastAsia" w:cs="宋体"/>
                <w:sz w:val="18"/>
                <w:szCs w:val="18"/>
              </w:rPr>
              <w:drawing>
                <wp:inline distT="0" distB="0" distL="114300" distR="114300">
                  <wp:extent cx="952500" cy="1266825"/>
                  <wp:effectExtent l="0" t="0" r="0" b="9525"/>
                  <wp:docPr id="6"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IMG_258"/>
                          <pic:cNvPicPr>
                            <a:picLocks noChangeAspect="1"/>
                          </pic:cNvPicPr>
                        </pic:nvPicPr>
                        <pic:blipFill>
                          <a:blip r:embed="rId6"/>
                          <a:stretch>
                            <a:fillRect/>
                          </a:stretch>
                        </pic:blipFill>
                        <pic:spPr>
                          <a:xfrm>
                            <a:off x="0" y="0"/>
                            <a:ext cx="952500" cy="1266825"/>
                          </a:xfrm>
                          <a:prstGeom prst="rect">
                            <a:avLst/>
                          </a:prstGeom>
                          <a:noFill/>
                          <a:ln w="9525">
                            <a:noFill/>
                          </a:ln>
                        </pic:spPr>
                      </pic:pic>
                    </a:graphicData>
                  </a:graphic>
                </wp:inline>
              </w:drawing>
            </w:r>
          </w:p>
        </w:tc>
        <w:tc>
          <w:tcPr>
            <w:tcW w:w="1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7399EC">
            <w:pPr>
              <w:snapToGrid w:val="0"/>
              <w:jc w:val="left"/>
              <w:textAlignment w:val="center"/>
              <w:rPr>
                <w:rFonts w:cs="宋体"/>
                <w:sz w:val="18"/>
                <w:szCs w:val="18"/>
              </w:rPr>
            </w:pPr>
            <w:r>
              <w:rPr>
                <w:rFonts w:hint="eastAsia" w:cs="宋体"/>
                <w:sz w:val="18"/>
                <w:szCs w:val="18"/>
                <w:lang w:bidi="ar"/>
              </w:rPr>
              <w:t>更换4个水锤消除器及附属配件</w:t>
            </w:r>
          </w:p>
        </w:tc>
        <w:tc>
          <w:tcPr>
            <w:tcW w:w="28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F84A42">
            <w:pPr>
              <w:snapToGrid w:val="0"/>
              <w:jc w:val="left"/>
              <w:textAlignment w:val="center"/>
              <w:rPr>
                <w:rFonts w:cs="宋体"/>
                <w:sz w:val="18"/>
                <w:szCs w:val="18"/>
              </w:rPr>
            </w:pPr>
            <w:r>
              <w:rPr>
                <w:rFonts w:hint="eastAsia" w:cs="宋体"/>
                <w:sz w:val="18"/>
                <w:szCs w:val="18"/>
                <w:lang w:bidi="ar"/>
              </w:rPr>
              <w:t>消防设施通用规范</w:t>
            </w:r>
            <w:r>
              <w:rPr>
                <w:rFonts w:hint="eastAsia" w:cs="宋体"/>
                <w:sz w:val="18"/>
                <w:szCs w:val="18"/>
                <w:lang w:bidi="ar"/>
              </w:rPr>
              <w:br w:type="textWrapping"/>
            </w:r>
            <w:r>
              <w:rPr>
                <w:rFonts w:hint="eastAsia" w:cs="宋体"/>
                <w:sz w:val="18"/>
                <w:szCs w:val="18"/>
                <w:lang w:bidi="ar"/>
              </w:rPr>
              <w:t xml:space="preserve"> GB55036-20222.0.9 消防设施投入使用后，应定期进行巡查、检查和维护，并应保证其处于正常运行或工作状态</w:t>
            </w:r>
          </w:p>
        </w:tc>
      </w:tr>
      <w:tr w14:paraId="470BED26">
        <w:tblPrEx>
          <w:tblCellMar>
            <w:top w:w="0" w:type="dxa"/>
            <w:left w:w="108" w:type="dxa"/>
            <w:bottom w:w="0" w:type="dxa"/>
            <w:right w:w="108" w:type="dxa"/>
          </w:tblCellMar>
        </w:tblPrEx>
        <w:trPr>
          <w:jc w:val="center"/>
        </w:trPr>
        <w:tc>
          <w:tcPr>
            <w:tcW w:w="6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A1F4D3">
            <w:pPr>
              <w:snapToGrid w:val="0"/>
              <w:textAlignment w:val="center"/>
              <w:rPr>
                <w:rFonts w:cs="宋体"/>
              </w:rPr>
            </w:pPr>
            <w:r>
              <w:rPr>
                <w:rFonts w:hint="eastAsia" w:cs="宋体"/>
                <w:lang w:bidi="ar"/>
              </w:rPr>
              <w:t>4</w:t>
            </w:r>
          </w:p>
        </w:tc>
        <w:tc>
          <w:tcPr>
            <w:tcW w:w="11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13148C">
            <w:pPr>
              <w:snapToGrid w:val="0"/>
              <w:textAlignment w:val="center"/>
              <w:rPr>
                <w:rFonts w:cs="宋体"/>
                <w:sz w:val="18"/>
                <w:szCs w:val="18"/>
              </w:rPr>
            </w:pPr>
            <w:r>
              <w:rPr>
                <w:rFonts w:hint="eastAsia" w:cs="宋体"/>
                <w:sz w:val="18"/>
                <w:szCs w:val="18"/>
                <w:lang w:bidi="ar"/>
              </w:rPr>
              <w:t>消防供水设施</w:t>
            </w:r>
          </w:p>
        </w:tc>
        <w:tc>
          <w:tcPr>
            <w:tcW w:w="6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16B4CE">
            <w:pPr>
              <w:snapToGrid w:val="0"/>
              <w:textAlignment w:val="center"/>
              <w:rPr>
                <w:rFonts w:cs="宋体"/>
                <w:sz w:val="18"/>
                <w:szCs w:val="18"/>
              </w:rPr>
            </w:pPr>
            <w:r>
              <w:rPr>
                <w:rFonts w:hint="eastAsia" w:cs="宋体"/>
                <w:sz w:val="18"/>
                <w:szCs w:val="18"/>
                <w:lang w:bidi="ar"/>
              </w:rPr>
              <w:t>1层</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D70EE6">
            <w:pPr>
              <w:snapToGrid w:val="0"/>
              <w:textAlignment w:val="center"/>
              <w:rPr>
                <w:rFonts w:cs="宋体"/>
                <w:sz w:val="18"/>
                <w:szCs w:val="18"/>
              </w:rPr>
            </w:pPr>
            <w:r>
              <w:rPr>
                <w:rFonts w:hint="eastAsia" w:cs="宋体"/>
                <w:sz w:val="18"/>
                <w:szCs w:val="18"/>
                <w:lang w:bidi="ar"/>
              </w:rPr>
              <w:t>1层中控室未加装天面高位水箱液位显示器</w:t>
            </w:r>
          </w:p>
        </w:tc>
        <w:tc>
          <w:tcPr>
            <w:tcW w:w="21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F6DD55">
            <w:pPr>
              <w:snapToGrid w:val="0"/>
              <w:textAlignment w:val="center"/>
              <w:rPr>
                <w:rFonts w:cs="宋体"/>
              </w:rPr>
            </w:pPr>
            <w:r>
              <w:rPr>
                <w:rFonts w:hint="eastAsia" w:cs="宋体"/>
                <w:lang w:bidi="ar"/>
              </w:rPr>
              <w:t>/</w:t>
            </w:r>
          </w:p>
        </w:tc>
        <w:tc>
          <w:tcPr>
            <w:tcW w:w="1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EA368C">
            <w:pPr>
              <w:snapToGrid w:val="0"/>
              <w:rPr>
                <w:rFonts w:cs="宋体"/>
                <w:sz w:val="18"/>
                <w:szCs w:val="18"/>
              </w:rPr>
            </w:pPr>
          </w:p>
        </w:tc>
        <w:tc>
          <w:tcPr>
            <w:tcW w:w="28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8913A4">
            <w:pPr>
              <w:snapToGrid w:val="0"/>
              <w:jc w:val="left"/>
              <w:textAlignment w:val="center"/>
              <w:rPr>
                <w:rFonts w:cs="宋体"/>
                <w:sz w:val="18"/>
                <w:szCs w:val="18"/>
              </w:rPr>
            </w:pPr>
            <w:r>
              <w:rPr>
                <w:rFonts w:hint="eastAsia" w:cs="宋体"/>
                <w:sz w:val="18"/>
                <w:szCs w:val="18"/>
                <w:lang w:bidi="ar"/>
              </w:rPr>
              <w:t>消防给水及消火栓系统技术规范 GB50974-2014 &gt;11 控制与操作，11.0.7 消防控制室或值班室，应具有下列控制和显示功能：  3 消防控制柜或控制盘应能显示消防水池、高位消防水箱等水源的高水位、低水位报警信号，以及正常水位。</w:t>
            </w:r>
          </w:p>
        </w:tc>
      </w:tr>
      <w:tr w14:paraId="00D18D40">
        <w:tblPrEx>
          <w:tblCellMar>
            <w:top w:w="0" w:type="dxa"/>
            <w:left w:w="108" w:type="dxa"/>
            <w:bottom w:w="0" w:type="dxa"/>
            <w:right w:w="108" w:type="dxa"/>
          </w:tblCellMar>
        </w:tblPrEx>
        <w:trPr>
          <w:jc w:val="center"/>
        </w:trPr>
        <w:tc>
          <w:tcPr>
            <w:tcW w:w="6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9A3C6F">
            <w:pPr>
              <w:snapToGrid w:val="0"/>
              <w:textAlignment w:val="center"/>
              <w:rPr>
                <w:rFonts w:cs="宋体"/>
              </w:rPr>
            </w:pPr>
            <w:r>
              <w:rPr>
                <w:rFonts w:hint="eastAsia" w:cs="宋体"/>
                <w:lang w:bidi="ar"/>
              </w:rPr>
              <w:t>5</w:t>
            </w:r>
          </w:p>
        </w:tc>
        <w:tc>
          <w:tcPr>
            <w:tcW w:w="11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0609DD">
            <w:pPr>
              <w:snapToGrid w:val="0"/>
              <w:textAlignment w:val="center"/>
              <w:rPr>
                <w:rFonts w:cs="宋体"/>
                <w:sz w:val="18"/>
                <w:szCs w:val="18"/>
              </w:rPr>
            </w:pPr>
            <w:r>
              <w:rPr>
                <w:rFonts w:hint="eastAsia" w:cs="宋体"/>
                <w:sz w:val="18"/>
                <w:szCs w:val="18"/>
                <w:lang w:bidi="ar"/>
              </w:rPr>
              <w:t>消防供水设施</w:t>
            </w:r>
          </w:p>
        </w:tc>
        <w:tc>
          <w:tcPr>
            <w:tcW w:w="6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270DCD">
            <w:pPr>
              <w:snapToGrid w:val="0"/>
              <w:textAlignment w:val="center"/>
              <w:rPr>
                <w:rFonts w:cs="宋体"/>
                <w:sz w:val="18"/>
                <w:szCs w:val="18"/>
              </w:rPr>
            </w:pPr>
            <w:r>
              <w:rPr>
                <w:rFonts w:hint="eastAsia" w:cs="宋体"/>
                <w:sz w:val="18"/>
                <w:szCs w:val="18"/>
                <w:lang w:bidi="ar"/>
              </w:rPr>
              <w:t>负1层</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9FD17B">
            <w:pPr>
              <w:snapToGrid w:val="0"/>
              <w:textAlignment w:val="center"/>
              <w:rPr>
                <w:rFonts w:cs="宋体"/>
                <w:sz w:val="18"/>
                <w:szCs w:val="18"/>
              </w:rPr>
            </w:pPr>
            <w:r>
              <w:rPr>
                <w:rFonts w:hint="eastAsia" w:cs="宋体"/>
                <w:sz w:val="18"/>
                <w:szCs w:val="18"/>
                <w:lang w:bidi="ar"/>
              </w:rPr>
              <w:t>消防水泵房1处自动补水阀阀门被关闭，浮球阀故障</w:t>
            </w:r>
          </w:p>
        </w:tc>
        <w:tc>
          <w:tcPr>
            <w:tcW w:w="21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6A0D5E">
            <w:pPr>
              <w:snapToGrid w:val="0"/>
              <w:textAlignment w:val="center"/>
              <w:rPr>
                <w:rFonts w:cs="宋体"/>
                <w:sz w:val="18"/>
                <w:szCs w:val="18"/>
              </w:rPr>
            </w:pPr>
            <w:r>
              <w:rPr>
                <w:rFonts w:hint="eastAsia" w:cs="宋体"/>
                <w:sz w:val="18"/>
                <w:szCs w:val="18"/>
              </w:rPr>
              <w:drawing>
                <wp:inline distT="0" distB="0" distL="114300" distR="114300">
                  <wp:extent cx="1209675" cy="904875"/>
                  <wp:effectExtent l="0" t="0" r="9525" b="9525"/>
                  <wp:docPr id="2"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descr="IMG_259"/>
                          <pic:cNvPicPr>
                            <a:picLocks noChangeAspect="1"/>
                          </pic:cNvPicPr>
                        </pic:nvPicPr>
                        <pic:blipFill>
                          <a:blip r:embed="rId7"/>
                          <a:stretch>
                            <a:fillRect/>
                          </a:stretch>
                        </pic:blipFill>
                        <pic:spPr>
                          <a:xfrm>
                            <a:off x="0" y="0"/>
                            <a:ext cx="1209675" cy="904875"/>
                          </a:xfrm>
                          <a:prstGeom prst="rect">
                            <a:avLst/>
                          </a:prstGeom>
                          <a:noFill/>
                          <a:ln w="9525">
                            <a:noFill/>
                          </a:ln>
                        </pic:spPr>
                      </pic:pic>
                    </a:graphicData>
                  </a:graphic>
                </wp:inline>
              </w:drawing>
            </w:r>
          </w:p>
        </w:tc>
        <w:tc>
          <w:tcPr>
            <w:tcW w:w="1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591BF4">
            <w:pPr>
              <w:snapToGrid w:val="0"/>
              <w:jc w:val="left"/>
              <w:textAlignment w:val="center"/>
              <w:rPr>
                <w:rFonts w:cs="宋体"/>
                <w:sz w:val="18"/>
                <w:szCs w:val="18"/>
              </w:rPr>
            </w:pPr>
            <w:r>
              <w:rPr>
                <w:rFonts w:hint="eastAsia" w:cs="宋体"/>
                <w:sz w:val="18"/>
                <w:szCs w:val="18"/>
                <w:lang w:bidi="ar"/>
              </w:rPr>
              <w:t>更换补水阀门及其组件</w:t>
            </w:r>
          </w:p>
        </w:tc>
        <w:tc>
          <w:tcPr>
            <w:tcW w:w="28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7DC03D">
            <w:pPr>
              <w:snapToGrid w:val="0"/>
              <w:jc w:val="left"/>
              <w:textAlignment w:val="center"/>
              <w:rPr>
                <w:rFonts w:cs="宋体"/>
                <w:sz w:val="18"/>
                <w:szCs w:val="18"/>
              </w:rPr>
            </w:pPr>
            <w:r>
              <w:rPr>
                <w:rFonts w:hint="eastAsia" w:cs="宋体"/>
                <w:sz w:val="18"/>
                <w:szCs w:val="18"/>
                <w:lang w:bidi="ar"/>
              </w:rPr>
              <w:t>消防设施通用规范</w:t>
            </w:r>
            <w:r>
              <w:rPr>
                <w:rFonts w:hint="eastAsia" w:cs="宋体"/>
                <w:sz w:val="18"/>
                <w:szCs w:val="18"/>
                <w:lang w:bidi="ar"/>
              </w:rPr>
              <w:br w:type="textWrapping"/>
            </w:r>
            <w:r>
              <w:rPr>
                <w:rFonts w:hint="eastAsia" w:cs="宋体"/>
                <w:sz w:val="18"/>
                <w:szCs w:val="18"/>
                <w:lang w:bidi="ar"/>
              </w:rPr>
              <w:t xml:space="preserve"> GB55036-20222.0.9 消防设施投入使用后，应定期进行巡查、检查和维护，并应保证其处于正常运行或工作状态</w:t>
            </w:r>
          </w:p>
        </w:tc>
      </w:tr>
      <w:tr w14:paraId="1A0101D3">
        <w:tblPrEx>
          <w:tblCellMar>
            <w:top w:w="0" w:type="dxa"/>
            <w:left w:w="108" w:type="dxa"/>
            <w:bottom w:w="0" w:type="dxa"/>
            <w:right w:w="108" w:type="dxa"/>
          </w:tblCellMar>
        </w:tblPrEx>
        <w:trPr>
          <w:jc w:val="center"/>
        </w:trPr>
        <w:tc>
          <w:tcPr>
            <w:tcW w:w="6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EF60F0">
            <w:pPr>
              <w:snapToGrid w:val="0"/>
              <w:textAlignment w:val="center"/>
              <w:rPr>
                <w:rFonts w:cs="宋体"/>
              </w:rPr>
            </w:pPr>
            <w:r>
              <w:rPr>
                <w:rFonts w:hint="eastAsia" w:cs="宋体"/>
                <w:lang w:bidi="ar"/>
              </w:rPr>
              <w:t>6</w:t>
            </w:r>
          </w:p>
        </w:tc>
        <w:tc>
          <w:tcPr>
            <w:tcW w:w="11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F3CA38">
            <w:pPr>
              <w:snapToGrid w:val="0"/>
              <w:textAlignment w:val="center"/>
              <w:rPr>
                <w:rFonts w:cs="宋体"/>
                <w:sz w:val="18"/>
                <w:szCs w:val="18"/>
              </w:rPr>
            </w:pPr>
            <w:r>
              <w:rPr>
                <w:rFonts w:hint="eastAsia" w:cs="宋体"/>
                <w:sz w:val="18"/>
                <w:szCs w:val="18"/>
                <w:lang w:bidi="ar"/>
              </w:rPr>
              <w:t>消防供水设施</w:t>
            </w:r>
          </w:p>
        </w:tc>
        <w:tc>
          <w:tcPr>
            <w:tcW w:w="6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85E0B0">
            <w:pPr>
              <w:snapToGrid w:val="0"/>
              <w:textAlignment w:val="center"/>
              <w:rPr>
                <w:rFonts w:cs="宋体"/>
                <w:sz w:val="18"/>
                <w:szCs w:val="18"/>
              </w:rPr>
            </w:pPr>
            <w:r>
              <w:rPr>
                <w:rFonts w:hint="eastAsia" w:cs="宋体"/>
                <w:sz w:val="18"/>
                <w:szCs w:val="18"/>
                <w:lang w:bidi="ar"/>
              </w:rPr>
              <w:t>负1层</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9C6813">
            <w:pPr>
              <w:snapToGrid w:val="0"/>
              <w:textAlignment w:val="center"/>
              <w:rPr>
                <w:rFonts w:cs="宋体"/>
                <w:sz w:val="18"/>
                <w:szCs w:val="18"/>
              </w:rPr>
            </w:pPr>
            <w:r>
              <w:rPr>
                <w:rFonts w:hint="eastAsia" w:cs="宋体"/>
                <w:sz w:val="18"/>
                <w:szCs w:val="18"/>
                <w:lang w:bidi="ar"/>
              </w:rPr>
              <w:t>消防水池入口处报警模块渗水</w:t>
            </w:r>
          </w:p>
        </w:tc>
        <w:tc>
          <w:tcPr>
            <w:tcW w:w="2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D7876">
            <w:pPr>
              <w:snapToGrid w:val="0"/>
              <w:textAlignment w:val="center"/>
              <w:rPr>
                <w:rFonts w:cs="宋体"/>
                <w:sz w:val="18"/>
                <w:szCs w:val="18"/>
              </w:rPr>
            </w:pPr>
            <w:r>
              <w:rPr>
                <w:rFonts w:hint="eastAsia" w:cs="宋体"/>
                <w:sz w:val="18"/>
                <w:szCs w:val="18"/>
              </w:rPr>
              <w:drawing>
                <wp:inline distT="0" distB="0" distL="114300" distR="114300">
                  <wp:extent cx="1209675" cy="904875"/>
                  <wp:effectExtent l="0" t="0" r="9525" b="9525"/>
                  <wp:docPr id="13"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 descr="IMG_260"/>
                          <pic:cNvPicPr>
                            <a:picLocks noChangeAspect="1"/>
                          </pic:cNvPicPr>
                        </pic:nvPicPr>
                        <pic:blipFill>
                          <a:blip r:embed="rId8"/>
                          <a:stretch>
                            <a:fillRect/>
                          </a:stretch>
                        </pic:blipFill>
                        <pic:spPr>
                          <a:xfrm>
                            <a:off x="0" y="0"/>
                            <a:ext cx="1209675" cy="904875"/>
                          </a:xfrm>
                          <a:prstGeom prst="rect">
                            <a:avLst/>
                          </a:prstGeom>
                          <a:noFill/>
                          <a:ln w="9525">
                            <a:noFill/>
                          </a:ln>
                        </pic:spPr>
                      </pic:pic>
                    </a:graphicData>
                  </a:graphic>
                </wp:inline>
              </w:drawing>
            </w:r>
          </w:p>
        </w:tc>
        <w:tc>
          <w:tcPr>
            <w:tcW w:w="1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A87C70">
            <w:pPr>
              <w:snapToGrid w:val="0"/>
              <w:jc w:val="left"/>
              <w:textAlignment w:val="center"/>
              <w:rPr>
                <w:rFonts w:cs="宋体"/>
                <w:sz w:val="18"/>
                <w:szCs w:val="18"/>
              </w:rPr>
            </w:pPr>
            <w:r>
              <w:rPr>
                <w:rFonts w:hint="eastAsia" w:cs="宋体"/>
                <w:sz w:val="18"/>
                <w:szCs w:val="18"/>
                <w:lang w:bidi="ar"/>
              </w:rPr>
              <w:t>移位安装</w:t>
            </w:r>
          </w:p>
        </w:tc>
        <w:tc>
          <w:tcPr>
            <w:tcW w:w="28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D52258">
            <w:pPr>
              <w:snapToGrid w:val="0"/>
              <w:jc w:val="left"/>
              <w:textAlignment w:val="center"/>
              <w:rPr>
                <w:rFonts w:cs="宋体"/>
                <w:sz w:val="18"/>
                <w:szCs w:val="18"/>
              </w:rPr>
            </w:pPr>
            <w:r>
              <w:rPr>
                <w:rFonts w:hint="eastAsia" w:cs="宋体"/>
                <w:sz w:val="18"/>
                <w:szCs w:val="18"/>
                <w:lang w:bidi="ar"/>
              </w:rPr>
              <w:t>消防设施通用规范</w:t>
            </w:r>
            <w:r>
              <w:rPr>
                <w:rFonts w:hint="eastAsia" w:cs="宋体"/>
                <w:sz w:val="18"/>
                <w:szCs w:val="18"/>
                <w:lang w:bidi="ar"/>
              </w:rPr>
              <w:br w:type="textWrapping"/>
            </w:r>
            <w:r>
              <w:rPr>
                <w:rFonts w:hint="eastAsia" w:cs="宋体"/>
                <w:sz w:val="18"/>
                <w:szCs w:val="18"/>
                <w:lang w:bidi="ar"/>
              </w:rPr>
              <w:t xml:space="preserve"> GB55036-20222.0.9 消防设施投入使用后，应定期进行巡查、检查和维护，并应保证其处于正常运行或工作状态</w:t>
            </w:r>
          </w:p>
        </w:tc>
      </w:tr>
      <w:tr w14:paraId="5AE8CB65">
        <w:tblPrEx>
          <w:tblCellMar>
            <w:top w:w="0" w:type="dxa"/>
            <w:left w:w="108" w:type="dxa"/>
            <w:bottom w:w="0" w:type="dxa"/>
            <w:right w:w="108" w:type="dxa"/>
          </w:tblCellMar>
        </w:tblPrEx>
        <w:trPr>
          <w:jc w:val="center"/>
        </w:trPr>
        <w:tc>
          <w:tcPr>
            <w:tcW w:w="6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F716FD">
            <w:pPr>
              <w:snapToGrid w:val="0"/>
              <w:textAlignment w:val="center"/>
              <w:rPr>
                <w:rFonts w:cs="宋体"/>
              </w:rPr>
            </w:pPr>
            <w:r>
              <w:rPr>
                <w:rFonts w:hint="eastAsia" w:cs="宋体"/>
                <w:lang w:bidi="ar"/>
              </w:rPr>
              <w:t>7</w:t>
            </w:r>
          </w:p>
        </w:tc>
        <w:tc>
          <w:tcPr>
            <w:tcW w:w="11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72A2D9">
            <w:pPr>
              <w:snapToGrid w:val="0"/>
              <w:textAlignment w:val="center"/>
              <w:rPr>
                <w:rFonts w:cs="宋体"/>
                <w:sz w:val="18"/>
                <w:szCs w:val="18"/>
              </w:rPr>
            </w:pPr>
            <w:r>
              <w:rPr>
                <w:rFonts w:hint="eastAsia" w:cs="宋体"/>
                <w:sz w:val="18"/>
                <w:szCs w:val="18"/>
                <w:lang w:bidi="ar"/>
              </w:rPr>
              <w:t>防火分隔</w:t>
            </w:r>
          </w:p>
        </w:tc>
        <w:tc>
          <w:tcPr>
            <w:tcW w:w="6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127924">
            <w:pPr>
              <w:snapToGrid w:val="0"/>
              <w:textAlignment w:val="center"/>
              <w:rPr>
                <w:rFonts w:cs="宋体"/>
                <w:sz w:val="18"/>
                <w:szCs w:val="18"/>
              </w:rPr>
            </w:pPr>
            <w:r>
              <w:rPr>
                <w:rFonts w:hint="eastAsia" w:cs="宋体"/>
                <w:sz w:val="18"/>
                <w:szCs w:val="18"/>
                <w:lang w:bidi="ar"/>
              </w:rPr>
              <w:t>1层</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558CD">
            <w:pPr>
              <w:snapToGrid w:val="0"/>
              <w:textAlignment w:val="center"/>
              <w:rPr>
                <w:rFonts w:cs="宋体"/>
                <w:sz w:val="18"/>
                <w:szCs w:val="18"/>
              </w:rPr>
            </w:pPr>
            <w:r>
              <w:rPr>
                <w:rFonts w:hint="eastAsia" w:cs="宋体"/>
                <w:sz w:val="18"/>
                <w:szCs w:val="18"/>
                <w:lang w:bidi="ar"/>
              </w:rPr>
              <w:t>厨房内卷帘门未与消防主机联机控制</w:t>
            </w:r>
          </w:p>
        </w:tc>
        <w:tc>
          <w:tcPr>
            <w:tcW w:w="21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0D50CF">
            <w:pPr>
              <w:snapToGrid w:val="0"/>
              <w:textAlignment w:val="center"/>
              <w:rPr>
                <w:rFonts w:cs="宋体"/>
              </w:rPr>
            </w:pPr>
            <w:r>
              <w:rPr>
                <w:rFonts w:hint="eastAsia" w:cs="宋体"/>
              </w:rPr>
              <w:drawing>
                <wp:inline distT="0" distB="0" distL="114300" distR="114300">
                  <wp:extent cx="1209675" cy="1609725"/>
                  <wp:effectExtent l="0" t="0" r="9525" b="9525"/>
                  <wp:docPr id="12"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6" descr="IMG_261"/>
                          <pic:cNvPicPr>
                            <a:picLocks noChangeAspect="1"/>
                          </pic:cNvPicPr>
                        </pic:nvPicPr>
                        <pic:blipFill>
                          <a:blip r:embed="rId9"/>
                          <a:stretch>
                            <a:fillRect/>
                          </a:stretch>
                        </pic:blipFill>
                        <pic:spPr>
                          <a:xfrm>
                            <a:off x="0" y="0"/>
                            <a:ext cx="1209675" cy="1609725"/>
                          </a:xfrm>
                          <a:prstGeom prst="rect">
                            <a:avLst/>
                          </a:prstGeom>
                          <a:noFill/>
                          <a:ln w="9525">
                            <a:noFill/>
                          </a:ln>
                        </pic:spPr>
                      </pic:pic>
                    </a:graphicData>
                  </a:graphic>
                </wp:inline>
              </w:drawing>
            </w:r>
          </w:p>
        </w:tc>
        <w:tc>
          <w:tcPr>
            <w:tcW w:w="1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6B9E22">
            <w:pPr>
              <w:snapToGrid w:val="0"/>
              <w:jc w:val="left"/>
              <w:textAlignment w:val="center"/>
              <w:rPr>
                <w:rFonts w:cs="宋体"/>
                <w:sz w:val="18"/>
                <w:szCs w:val="18"/>
              </w:rPr>
            </w:pPr>
            <w:r>
              <w:rPr>
                <w:rFonts w:hint="eastAsia" w:cs="宋体"/>
                <w:sz w:val="18"/>
                <w:szCs w:val="18"/>
                <w:lang w:bidi="ar"/>
              </w:rPr>
              <w:t>增设模块、线路，编程后接入现运行报警主机</w:t>
            </w:r>
          </w:p>
        </w:tc>
        <w:tc>
          <w:tcPr>
            <w:tcW w:w="28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CBD878">
            <w:pPr>
              <w:snapToGrid w:val="0"/>
              <w:jc w:val="left"/>
              <w:textAlignment w:val="center"/>
              <w:rPr>
                <w:rFonts w:cs="宋体"/>
                <w:sz w:val="18"/>
                <w:szCs w:val="18"/>
              </w:rPr>
            </w:pPr>
            <w:r>
              <w:rPr>
                <w:rFonts w:hint="eastAsia" w:cs="宋体"/>
                <w:sz w:val="18"/>
                <w:szCs w:val="18"/>
                <w:lang w:bidi="ar"/>
              </w:rPr>
              <w:t>防火卷帘 GB14102-2005 &gt;B.1.3.2 火灾报警性能</w:t>
            </w:r>
            <w:r>
              <w:rPr>
                <w:rFonts w:hint="eastAsia" w:cs="宋体"/>
                <w:sz w:val="18"/>
                <w:szCs w:val="18"/>
                <w:lang w:bidi="ar"/>
              </w:rPr>
              <w:br w:type="textWrapping"/>
            </w:r>
            <w:r>
              <w:rPr>
                <w:rFonts w:hint="eastAsia" w:cs="宋体"/>
                <w:sz w:val="18"/>
                <w:szCs w:val="18"/>
                <w:lang w:bidi="ar"/>
              </w:rPr>
              <w:t xml:space="preserve">    控制箱能直接或间接地接收来自火灾探测器或消防控制中心的火灾报警信号。当接到火灾报警信号后，控制箱应自动完成以下动作：</w:t>
            </w:r>
            <w:r>
              <w:rPr>
                <w:rFonts w:hint="eastAsia" w:cs="宋体"/>
                <w:sz w:val="18"/>
                <w:szCs w:val="18"/>
                <w:lang w:bidi="ar"/>
              </w:rPr>
              <w:br w:type="textWrapping"/>
            </w:r>
            <w:r>
              <w:rPr>
                <w:rFonts w:hint="eastAsia" w:cs="宋体"/>
                <w:sz w:val="18"/>
                <w:szCs w:val="18"/>
                <w:lang w:bidi="ar"/>
              </w:rPr>
              <w:t xml:space="preserve">    c）输出反馈信号，将防火卷帘所处位置的状态信号反馈至消防控制中心，实现消防中心联机控制。</w:t>
            </w:r>
          </w:p>
        </w:tc>
      </w:tr>
      <w:tr w14:paraId="61120A9C">
        <w:tblPrEx>
          <w:tblCellMar>
            <w:top w:w="0" w:type="dxa"/>
            <w:left w:w="108" w:type="dxa"/>
            <w:bottom w:w="0" w:type="dxa"/>
            <w:right w:w="108" w:type="dxa"/>
          </w:tblCellMar>
        </w:tblPrEx>
        <w:trPr>
          <w:jc w:val="center"/>
        </w:trPr>
        <w:tc>
          <w:tcPr>
            <w:tcW w:w="6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4CE297">
            <w:pPr>
              <w:snapToGrid w:val="0"/>
              <w:textAlignment w:val="center"/>
              <w:rPr>
                <w:rFonts w:cs="宋体"/>
              </w:rPr>
            </w:pPr>
            <w:r>
              <w:rPr>
                <w:rFonts w:hint="eastAsia" w:cs="宋体"/>
                <w:lang w:bidi="ar"/>
              </w:rPr>
              <w:t>8</w:t>
            </w:r>
          </w:p>
        </w:tc>
        <w:tc>
          <w:tcPr>
            <w:tcW w:w="11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F1F728">
            <w:pPr>
              <w:snapToGrid w:val="0"/>
              <w:textAlignment w:val="center"/>
              <w:rPr>
                <w:rFonts w:cs="宋体"/>
                <w:sz w:val="18"/>
                <w:szCs w:val="18"/>
              </w:rPr>
            </w:pPr>
            <w:r>
              <w:rPr>
                <w:rFonts w:hint="eastAsia" w:cs="宋体"/>
                <w:sz w:val="18"/>
                <w:szCs w:val="18"/>
                <w:lang w:bidi="ar"/>
              </w:rPr>
              <w:t>消防供水设施</w:t>
            </w:r>
          </w:p>
        </w:tc>
        <w:tc>
          <w:tcPr>
            <w:tcW w:w="6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793502">
            <w:pPr>
              <w:snapToGrid w:val="0"/>
              <w:textAlignment w:val="center"/>
              <w:rPr>
                <w:rFonts w:cs="宋体"/>
                <w:sz w:val="18"/>
                <w:szCs w:val="18"/>
              </w:rPr>
            </w:pPr>
            <w:r>
              <w:rPr>
                <w:rFonts w:hint="eastAsia" w:cs="宋体"/>
                <w:sz w:val="18"/>
                <w:szCs w:val="18"/>
                <w:lang w:bidi="ar"/>
              </w:rPr>
              <w:t>负1层</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105549">
            <w:pPr>
              <w:snapToGrid w:val="0"/>
              <w:textAlignment w:val="center"/>
              <w:rPr>
                <w:rFonts w:cs="宋体"/>
                <w:sz w:val="18"/>
                <w:szCs w:val="18"/>
              </w:rPr>
            </w:pPr>
            <w:r>
              <w:rPr>
                <w:rFonts w:hint="eastAsia" w:cs="宋体"/>
                <w:sz w:val="18"/>
                <w:szCs w:val="18"/>
                <w:lang w:bidi="ar"/>
              </w:rPr>
              <w:t>室内消火栓智能压力开关故障</w:t>
            </w: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5E9EE">
            <w:pPr>
              <w:snapToGrid w:val="0"/>
              <w:textAlignment w:val="center"/>
              <w:rPr>
                <w:rFonts w:cs="宋体"/>
              </w:rPr>
            </w:pPr>
            <w:r>
              <w:rPr>
                <w:rFonts w:hint="eastAsia" w:cs="宋体"/>
              </w:rPr>
              <w:drawing>
                <wp:inline distT="0" distB="0" distL="114300" distR="114300">
                  <wp:extent cx="1200150" cy="1600200"/>
                  <wp:effectExtent l="0" t="0" r="0" b="0"/>
                  <wp:docPr id="10" name="图片 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 descr="IMG_262"/>
                          <pic:cNvPicPr>
                            <a:picLocks noChangeAspect="1"/>
                          </pic:cNvPicPr>
                        </pic:nvPicPr>
                        <pic:blipFill>
                          <a:blip r:embed="rId10"/>
                          <a:stretch>
                            <a:fillRect/>
                          </a:stretch>
                        </pic:blipFill>
                        <pic:spPr>
                          <a:xfrm>
                            <a:off x="0" y="0"/>
                            <a:ext cx="1200150" cy="1600200"/>
                          </a:xfrm>
                          <a:prstGeom prst="rect">
                            <a:avLst/>
                          </a:prstGeom>
                          <a:noFill/>
                          <a:ln w="9525">
                            <a:noFill/>
                          </a:ln>
                        </pic:spPr>
                      </pic:pic>
                    </a:graphicData>
                  </a:graphic>
                </wp:inline>
              </w:drawing>
            </w:r>
          </w:p>
        </w:tc>
        <w:tc>
          <w:tcPr>
            <w:tcW w:w="1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91D2C6">
            <w:pPr>
              <w:snapToGrid w:val="0"/>
              <w:jc w:val="left"/>
              <w:textAlignment w:val="center"/>
              <w:rPr>
                <w:rFonts w:cs="宋体"/>
                <w:sz w:val="18"/>
                <w:szCs w:val="18"/>
              </w:rPr>
            </w:pPr>
            <w:r>
              <w:rPr>
                <w:rFonts w:hint="eastAsia" w:cs="宋体"/>
                <w:sz w:val="18"/>
                <w:szCs w:val="18"/>
                <w:lang w:bidi="ar"/>
              </w:rPr>
              <w:t>更换故障开关1个</w:t>
            </w:r>
          </w:p>
        </w:tc>
        <w:tc>
          <w:tcPr>
            <w:tcW w:w="28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192366">
            <w:pPr>
              <w:snapToGrid w:val="0"/>
              <w:jc w:val="left"/>
              <w:textAlignment w:val="center"/>
              <w:rPr>
                <w:rFonts w:cs="宋体"/>
                <w:sz w:val="18"/>
                <w:szCs w:val="18"/>
              </w:rPr>
            </w:pPr>
            <w:r>
              <w:rPr>
                <w:rFonts w:hint="eastAsia" w:cs="宋体"/>
                <w:sz w:val="18"/>
                <w:szCs w:val="18"/>
                <w:lang w:bidi="ar"/>
              </w:rPr>
              <w:t>消防设施通用规范</w:t>
            </w:r>
            <w:r>
              <w:rPr>
                <w:rFonts w:hint="eastAsia" w:cs="宋体"/>
                <w:sz w:val="18"/>
                <w:szCs w:val="18"/>
                <w:lang w:bidi="ar"/>
              </w:rPr>
              <w:br w:type="textWrapping"/>
            </w:r>
            <w:r>
              <w:rPr>
                <w:rFonts w:hint="eastAsia" w:cs="宋体"/>
                <w:sz w:val="18"/>
                <w:szCs w:val="18"/>
                <w:lang w:bidi="ar"/>
              </w:rPr>
              <w:t xml:space="preserve"> GB55036-20222.0.9 消防设施投入使用后，应定期进行巡查、检查和维护，并应保证其处于正常运行或工作状态</w:t>
            </w:r>
          </w:p>
        </w:tc>
      </w:tr>
      <w:tr w14:paraId="1F4C5408">
        <w:tblPrEx>
          <w:tblCellMar>
            <w:top w:w="0" w:type="dxa"/>
            <w:left w:w="108" w:type="dxa"/>
            <w:bottom w:w="0" w:type="dxa"/>
            <w:right w:w="108" w:type="dxa"/>
          </w:tblCellMar>
        </w:tblPrEx>
        <w:trPr>
          <w:jc w:val="center"/>
        </w:trPr>
        <w:tc>
          <w:tcPr>
            <w:tcW w:w="6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353B19">
            <w:pPr>
              <w:snapToGrid w:val="0"/>
              <w:textAlignment w:val="center"/>
              <w:rPr>
                <w:rFonts w:cs="宋体"/>
              </w:rPr>
            </w:pPr>
            <w:r>
              <w:rPr>
                <w:rFonts w:hint="eastAsia" w:cs="宋体"/>
                <w:lang w:bidi="ar"/>
              </w:rPr>
              <w:t>9</w:t>
            </w:r>
          </w:p>
        </w:tc>
        <w:tc>
          <w:tcPr>
            <w:tcW w:w="11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FA9DD4">
            <w:pPr>
              <w:snapToGrid w:val="0"/>
              <w:textAlignment w:val="center"/>
              <w:rPr>
                <w:rFonts w:cs="宋体"/>
                <w:sz w:val="18"/>
                <w:szCs w:val="18"/>
              </w:rPr>
            </w:pPr>
            <w:r>
              <w:rPr>
                <w:rFonts w:hint="eastAsia" w:cs="宋体"/>
                <w:sz w:val="18"/>
                <w:szCs w:val="18"/>
                <w:lang w:bidi="ar"/>
              </w:rPr>
              <w:t>消防供水设施</w:t>
            </w:r>
          </w:p>
        </w:tc>
        <w:tc>
          <w:tcPr>
            <w:tcW w:w="6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A0C7E2">
            <w:pPr>
              <w:snapToGrid w:val="0"/>
              <w:textAlignment w:val="center"/>
              <w:rPr>
                <w:rFonts w:cs="宋体"/>
                <w:sz w:val="18"/>
                <w:szCs w:val="18"/>
              </w:rPr>
            </w:pPr>
            <w:r>
              <w:rPr>
                <w:rFonts w:hint="eastAsia" w:cs="宋体"/>
                <w:sz w:val="18"/>
                <w:szCs w:val="18"/>
                <w:lang w:bidi="ar"/>
              </w:rPr>
              <w:t>天面</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770CC5">
            <w:pPr>
              <w:snapToGrid w:val="0"/>
              <w:textAlignment w:val="center"/>
              <w:rPr>
                <w:rFonts w:cs="宋体"/>
                <w:sz w:val="18"/>
                <w:szCs w:val="18"/>
              </w:rPr>
            </w:pPr>
            <w:r>
              <w:rPr>
                <w:rFonts w:hint="eastAsia" w:cs="宋体"/>
                <w:sz w:val="18"/>
                <w:szCs w:val="18"/>
                <w:lang w:bidi="ar"/>
              </w:rPr>
              <w:t>稳压罐压力表缺失</w:t>
            </w: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3A777">
            <w:pPr>
              <w:snapToGrid w:val="0"/>
              <w:textAlignment w:val="center"/>
              <w:rPr>
                <w:rFonts w:cs="宋体"/>
              </w:rPr>
            </w:pPr>
            <w:r>
              <w:rPr>
                <w:rFonts w:hint="eastAsia" w:cs="宋体"/>
              </w:rPr>
              <w:drawing>
                <wp:inline distT="0" distB="0" distL="114300" distR="114300">
                  <wp:extent cx="904875" cy="1200150"/>
                  <wp:effectExtent l="0" t="0" r="9525" b="0"/>
                  <wp:docPr id="14" name="图片 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8" descr="IMG_263"/>
                          <pic:cNvPicPr>
                            <a:picLocks noChangeAspect="1"/>
                          </pic:cNvPicPr>
                        </pic:nvPicPr>
                        <pic:blipFill>
                          <a:blip r:embed="rId11"/>
                          <a:stretch>
                            <a:fillRect/>
                          </a:stretch>
                        </pic:blipFill>
                        <pic:spPr>
                          <a:xfrm>
                            <a:off x="0" y="0"/>
                            <a:ext cx="904875" cy="1200150"/>
                          </a:xfrm>
                          <a:prstGeom prst="rect">
                            <a:avLst/>
                          </a:prstGeom>
                          <a:noFill/>
                          <a:ln w="9525">
                            <a:noFill/>
                          </a:ln>
                        </pic:spPr>
                      </pic:pic>
                    </a:graphicData>
                  </a:graphic>
                </wp:inline>
              </w:drawing>
            </w:r>
          </w:p>
        </w:tc>
        <w:tc>
          <w:tcPr>
            <w:tcW w:w="1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F2F6A6">
            <w:pPr>
              <w:snapToGrid w:val="0"/>
              <w:jc w:val="left"/>
              <w:textAlignment w:val="center"/>
              <w:rPr>
                <w:rFonts w:cs="宋体"/>
                <w:sz w:val="18"/>
                <w:szCs w:val="18"/>
              </w:rPr>
            </w:pPr>
            <w:r>
              <w:rPr>
                <w:rFonts w:hint="eastAsia" w:cs="宋体"/>
                <w:sz w:val="18"/>
                <w:szCs w:val="18"/>
                <w:lang w:bidi="ar"/>
              </w:rPr>
              <w:t>增加2个稳压罐压力表</w:t>
            </w:r>
          </w:p>
        </w:tc>
        <w:tc>
          <w:tcPr>
            <w:tcW w:w="28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0F6056">
            <w:pPr>
              <w:snapToGrid w:val="0"/>
              <w:jc w:val="left"/>
              <w:textAlignment w:val="center"/>
              <w:rPr>
                <w:rFonts w:cs="宋体"/>
                <w:sz w:val="18"/>
                <w:szCs w:val="18"/>
              </w:rPr>
            </w:pPr>
            <w:r>
              <w:rPr>
                <w:rFonts w:hint="eastAsia" w:cs="宋体"/>
                <w:sz w:val="18"/>
                <w:szCs w:val="18"/>
                <w:lang w:bidi="ar"/>
              </w:rPr>
              <w:t>消防设施通用规范</w:t>
            </w:r>
            <w:r>
              <w:rPr>
                <w:rFonts w:hint="eastAsia" w:cs="宋体"/>
                <w:sz w:val="18"/>
                <w:szCs w:val="18"/>
                <w:lang w:bidi="ar"/>
              </w:rPr>
              <w:br w:type="textWrapping"/>
            </w:r>
            <w:r>
              <w:rPr>
                <w:rFonts w:hint="eastAsia" w:cs="宋体"/>
                <w:sz w:val="18"/>
                <w:szCs w:val="18"/>
                <w:lang w:bidi="ar"/>
              </w:rPr>
              <w:t xml:space="preserve"> GB55036-20222.0.9 消防设施投入使用后，应定期进行巡查、检查和维护，并应保证其处于正常运行或工作状态</w:t>
            </w:r>
          </w:p>
        </w:tc>
      </w:tr>
      <w:tr w14:paraId="34BBDDBF">
        <w:tblPrEx>
          <w:tblCellMar>
            <w:top w:w="0" w:type="dxa"/>
            <w:left w:w="108" w:type="dxa"/>
            <w:bottom w:w="0" w:type="dxa"/>
            <w:right w:w="108" w:type="dxa"/>
          </w:tblCellMar>
        </w:tblPrEx>
        <w:trPr>
          <w:jc w:val="center"/>
        </w:trPr>
        <w:tc>
          <w:tcPr>
            <w:tcW w:w="6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B66FB5">
            <w:pPr>
              <w:snapToGrid w:val="0"/>
              <w:textAlignment w:val="center"/>
              <w:rPr>
                <w:rFonts w:cs="宋体"/>
              </w:rPr>
            </w:pPr>
            <w:r>
              <w:rPr>
                <w:rFonts w:hint="eastAsia" w:cs="宋体"/>
                <w:lang w:bidi="ar"/>
              </w:rPr>
              <w:t>10</w:t>
            </w:r>
          </w:p>
        </w:tc>
        <w:tc>
          <w:tcPr>
            <w:tcW w:w="11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1ED1EE">
            <w:pPr>
              <w:snapToGrid w:val="0"/>
              <w:jc w:val="left"/>
              <w:textAlignment w:val="center"/>
              <w:rPr>
                <w:rFonts w:cs="宋体"/>
                <w:sz w:val="18"/>
                <w:szCs w:val="18"/>
              </w:rPr>
            </w:pPr>
            <w:r>
              <w:rPr>
                <w:rFonts w:hint="eastAsia" w:cs="宋体"/>
                <w:sz w:val="18"/>
                <w:szCs w:val="18"/>
                <w:lang w:bidi="ar"/>
              </w:rPr>
              <w:t>火灾报警系统</w:t>
            </w:r>
          </w:p>
        </w:tc>
        <w:tc>
          <w:tcPr>
            <w:tcW w:w="6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E41933">
            <w:pPr>
              <w:snapToGrid w:val="0"/>
              <w:textAlignment w:val="center"/>
              <w:rPr>
                <w:rFonts w:cs="宋体"/>
                <w:sz w:val="18"/>
                <w:szCs w:val="18"/>
              </w:rPr>
            </w:pPr>
            <w:r>
              <w:rPr>
                <w:rFonts w:hint="eastAsia" w:cs="宋体"/>
                <w:sz w:val="18"/>
                <w:szCs w:val="18"/>
                <w:lang w:bidi="ar"/>
              </w:rPr>
              <w:t>1层</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2E084B">
            <w:pPr>
              <w:snapToGrid w:val="0"/>
              <w:textAlignment w:val="center"/>
              <w:rPr>
                <w:rFonts w:cs="宋体"/>
                <w:sz w:val="18"/>
                <w:szCs w:val="18"/>
              </w:rPr>
            </w:pPr>
            <w:r>
              <w:rPr>
                <w:rFonts w:hint="eastAsia" w:cs="宋体"/>
                <w:sz w:val="18"/>
                <w:szCs w:val="18"/>
                <w:lang w:bidi="ar"/>
              </w:rPr>
              <w:t>配电房设备报警信息引用气体灭火系统，无法精确识别报警信息</w:t>
            </w:r>
          </w:p>
        </w:tc>
        <w:tc>
          <w:tcPr>
            <w:tcW w:w="21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ABEBA0">
            <w:pPr>
              <w:snapToGrid w:val="0"/>
              <w:textAlignment w:val="center"/>
              <w:rPr>
                <w:rFonts w:cs="宋体"/>
              </w:rPr>
            </w:pPr>
            <w:r>
              <w:rPr>
                <w:rFonts w:hint="eastAsia" w:cs="宋体"/>
              </w:rPr>
              <w:drawing>
                <wp:inline distT="0" distB="0" distL="114300" distR="114300">
                  <wp:extent cx="733425" cy="971550"/>
                  <wp:effectExtent l="0" t="0" r="9525" b="0"/>
                  <wp:docPr id="11" name="图片 9"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9" descr="IMG_264"/>
                          <pic:cNvPicPr>
                            <a:picLocks noChangeAspect="1"/>
                          </pic:cNvPicPr>
                        </pic:nvPicPr>
                        <pic:blipFill>
                          <a:blip r:embed="rId12"/>
                          <a:stretch>
                            <a:fillRect/>
                          </a:stretch>
                        </pic:blipFill>
                        <pic:spPr>
                          <a:xfrm>
                            <a:off x="0" y="0"/>
                            <a:ext cx="733425" cy="971550"/>
                          </a:xfrm>
                          <a:prstGeom prst="rect">
                            <a:avLst/>
                          </a:prstGeom>
                          <a:noFill/>
                          <a:ln w="9525">
                            <a:noFill/>
                          </a:ln>
                        </pic:spPr>
                      </pic:pic>
                    </a:graphicData>
                  </a:graphic>
                </wp:inline>
              </w:drawing>
            </w:r>
          </w:p>
        </w:tc>
        <w:tc>
          <w:tcPr>
            <w:tcW w:w="1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0F8A98">
            <w:pPr>
              <w:snapToGrid w:val="0"/>
              <w:jc w:val="left"/>
              <w:textAlignment w:val="center"/>
              <w:rPr>
                <w:rFonts w:cs="宋体"/>
                <w:sz w:val="18"/>
                <w:szCs w:val="18"/>
              </w:rPr>
            </w:pPr>
            <w:r>
              <w:rPr>
                <w:rFonts w:hint="eastAsia" w:cs="宋体"/>
                <w:sz w:val="18"/>
                <w:szCs w:val="18"/>
                <w:lang w:bidi="ar"/>
              </w:rPr>
              <w:t>增设与报警主机匹配的报警探测器（低压配电房4个烟感，2个温感、高压配电房2个烟感，2个温感）变成后接入现运行报警主机</w:t>
            </w:r>
          </w:p>
        </w:tc>
        <w:tc>
          <w:tcPr>
            <w:tcW w:w="28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FBB9AC">
            <w:pPr>
              <w:snapToGrid w:val="0"/>
              <w:jc w:val="left"/>
              <w:textAlignment w:val="center"/>
              <w:rPr>
                <w:rFonts w:cs="宋体"/>
                <w:sz w:val="18"/>
                <w:szCs w:val="18"/>
              </w:rPr>
            </w:pPr>
            <w:r>
              <w:rPr>
                <w:rFonts w:hint="eastAsia" w:cs="宋体"/>
                <w:sz w:val="18"/>
                <w:szCs w:val="18"/>
                <w:lang w:bidi="ar"/>
              </w:rPr>
              <w:t>消防设施通用规范</w:t>
            </w:r>
            <w:r>
              <w:rPr>
                <w:rFonts w:hint="eastAsia" w:cs="宋体"/>
                <w:sz w:val="18"/>
                <w:szCs w:val="18"/>
                <w:lang w:bidi="ar"/>
              </w:rPr>
              <w:br w:type="textWrapping"/>
            </w:r>
            <w:r>
              <w:rPr>
                <w:rFonts w:hint="eastAsia" w:cs="宋体"/>
                <w:sz w:val="18"/>
                <w:szCs w:val="18"/>
                <w:lang w:bidi="ar"/>
              </w:rPr>
              <w:t xml:space="preserve"> GB55036-20222.0.9 消防设施投入使用后，应定期进行巡查、检查和维护，并应保证其处于正常运行或工作状态</w:t>
            </w:r>
          </w:p>
        </w:tc>
      </w:tr>
      <w:tr w14:paraId="17566F9C">
        <w:tblPrEx>
          <w:tblCellMar>
            <w:top w:w="0" w:type="dxa"/>
            <w:left w:w="108" w:type="dxa"/>
            <w:bottom w:w="0" w:type="dxa"/>
            <w:right w:w="108" w:type="dxa"/>
          </w:tblCellMar>
        </w:tblPrEx>
        <w:trPr>
          <w:jc w:val="center"/>
        </w:trPr>
        <w:tc>
          <w:tcPr>
            <w:tcW w:w="6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614FED">
            <w:pPr>
              <w:snapToGrid w:val="0"/>
              <w:textAlignment w:val="center"/>
              <w:rPr>
                <w:rFonts w:cs="宋体"/>
              </w:rPr>
            </w:pPr>
            <w:r>
              <w:rPr>
                <w:rFonts w:hint="eastAsia" w:cs="宋体"/>
                <w:lang w:bidi="ar"/>
              </w:rPr>
              <w:t>11</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6E757">
            <w:pPr>
              <w:snapToGrid w:val="0"/>
              <w:textAlignment w:val="center"/>
              <w:rPr>
                <w:rFonts w:cs="宋体"/>
                <w:sz w:val="18"/>
                <w:szCs w:val="18"/>
              </w:rPr>
            </w:pPr>
            <w:r>
              <w:rPr>
                <w:rFonts w:hint="eastAsia" w:cs="宋体"/>
                <w:sz w:val="18"/>
                <w:szCs w:val="18"/>
                <w:lang w:bidi="ar"/>
              </w:rPr>
              <w:t>防排烟系统</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F608E">
            <w:pPr>
              <w:snapToGrid w:val="0"/>
              <w:textAlignment w:val="center"/>
              <w:rPr>
                <w:rFonts w:cs="宋体"/>
                <w:sz w:val="18"/>
                <w:szCs w:val="18"/>
              </w:rPr>
            </w:pPr>
            <w:r>
              <w:rPr>
                <w:rFonts w:hint="eastAsia" w:cs="宋体"/>
                <w:sz w:val="18"/>
                <w:szCs w:val="18"/>
                <w:lang w:bidi="ar"/>
              </w:rPr>
              <w:t>天面</w:t>
            </w:r>
          </w:p>
        </w:tc>
        <w:tc>
          <w:tcPr>
            <w:tcW w:w="1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E9F1A">
            <w:pPr>
              <w:snapToGrid w:val="0"/>
              <w:textAlignment w:val="center"/>
              <w:rPr>
                <w:rFonts w:cs="宋体"/>
                <w:sz w:val="18"/>
                <w:szCs w:val="18"/>
              </w:rPr>
            </w:pPr>
            <w:r>
              <w:rPr>
                <w:rFonts w:hint="eastAsia" w:cs="宋体"/>
                <w:sz w:val="18"/>
                <w:szCs w:val="18"/>
                <w:lang w:bidi="ar"/>
              </w:rPr>
              <w:t>排烟机房和送风机房，阀联动停止风机功能缺失</w:t>
            </w: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45C18">
            <w:pPr>
              <w:snapToGrid w:val="0"/>
              <w:textAlignment w:val="center"/>
              <w:rPr>
                <w:rFonts w:cs="宋体"/>
              </w:rPr>
            </w:pPr>
            <w:r>
              <w:rPr>
                <w:rFonts w:hint="eastAsia" w:cs="宋体"/>
              </w:rPr>
              <w:drawing>
                <wp:inline distT="0" distB="0" distL="114300" distR="114300">
                  <wp:extent cx="771525" cy="1028700"/>
                  <wp:effectExtent l="0" t="0" r="9525" b="0"/>
                  <wp:docPr id="7" name="图片 10"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0" descr="IMG_265"/>
                          <pic:cNvPicPr>
                            <a:picLocks noChangeAspect="1"/>
                          </pic:cNvPicPr>
                        </pic:nvPicPr>
                        <pic:blipFill>
                          <a:blip r:embed="rId13"/>
                          <a:stretch>
                            <a:fillRect/>
                          </a:stretch>
                        </pic:blipFill>
                        <pic:spPr>
                          <a:xfrm>
                            <a:off x="0" y="0"/>
                            <a:ext cx="771525" cy="1028700"/>
                          </a:xfrm>
                          <a:prstGeom prst="rect">
                            <a:avLst/>
                          </a:prstGeom>
                          <a:noFill/>
                          <a:ln w="9525">
                            <a:noFill/>
                          </a:ln>
                        </pic:spPr>
                      </pic:pic>
                    </a:graphicData>
                  </a:graphic>
                </wp:inline>
              </w:drawing>
            </w:r>
          </w:p>
        </w:tc>
        <w:tc>
          <w:tcPr>
            <w:tcW w:w="1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198B93">
            <w:pPr>
              <w:snapToGrid w:val="0"/>
              <w:jc w:val="left"/>
              <w:textAlignment w:val="center"/>
              <w:rPr>
                <w:rFonts w:cs="宋体"/>
                <w:sz w:val="18"/>
                <w:szCs w:val="18"/>
              </w:rPr>
            </w:pPr>
            <w:r>
              <w:rPr>
                <w:rFonts w:hint="eastAsia" w:cs="宋体"/>
                <w:sz w:val="18"/>
                <w:szCs w:val="18"/>
                <w:lang w:bidi="ar"/>
              </w:rPr>
              <w:t>安装5个模块和阀门并调试</w:t>
            </w:r>
          </w:p>
        </w:tc>
        <w:tc>
          <w:tcPr>
            <w:tcW w:w="28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621A56">
            <w:pPr>
              <w:snapToGrid w:val="0"/>
              <w:jc w:val="left"/>
              <w:textAlignment w:val="center"/>
              <w:rPr>
                <w:rFonts w:cs="宋体"/>
                <w:sz w:val="18"/>
                <w:szCs w:val="18"/>
              </w:rPr>
            </w:pPr>
            <w:r>
              <w:rPr>
                <w:rFonts w:hint="eastAsia" w:cs="宋体"/>
                <w:sz w:val="18"/>
                <w:szCs w:val="18"/>
                <w:lang w:bidi="ar"/>
              </w:rPr>
              <w:t>建筑防烟排烟系统技术标准 GB51251-2017 5.2.2 第5款 排烟防火阀在280℃时应自行关闭，并应连锁关闭排烟风机和补风机。</w:t>
            </w:r>
          </w:p>
        </w:tc>
      </w:tr>
      <w:tr w14:paraId="2A0273D6">
        <w:tblPrEx>
          <w:tblCellMar>
            <w:top w:w="0" w:type="dxa"/>
            <w:left w:w="108" w:type="dxa"/>
            <w:bottom w:w="0" w:type="dxa"/>
            <w:right w:w="108" w:type="dxa"/>
          </w:tblCellMar>
        </w:tblPrEx>
        <w:trPr>
          <w:jc w:val="center"/>
        </w:trPr>
        <w:tc>
          <w:tcPr>
            <w:tcW w:w="6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229EB4">
            <w:pPr>
              <w:snapToGrid w:val="0"/>
              <w:textAlignment w:val="center"/>
              <w:rPr>
                <w:rFonts w:cs="宋体"/>
              </w:rPr>
            </w:pPr>
            <w:r>
              <w:rPr>
                <w:rFonts w:hint="eastAsia" w:cs="宋体"/>
                <w:lang w:bidi="ar"/>
              </w:rPr>
              <w:t>12</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28B01">
            <w:pPr>
              <w:snapToGrid w:val="0"/>
              <w:textAlignment w:val="center"/>
              <w:rPr>
                <w:rFonts w:cs="宋体"/>
                <w:sz w:val="18"/>
                <w:szCs w:val="18"/>
              </w:rPr>
            </w:pPr>
            <w:r>
              <w:rPr>
                <w:rFonts w:hint="eastAsia" w:cs="宋体"/>
                <w:sz w:val="18"/>
                <w:szCs w:val="18"/>
                <w:lang w:bidi="ar"/>
              </w:rPr>
              <w:t>空调控制系统</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5AC3E">
            <w:pPr>
              <w:snapToGrid w:val="0"/>
              <w:textAlignment w:val="center"/>
              <w:rPr>
                <w:rFonts w:cs="宋体"/>
                <w:sz w:val="18"/>
                <w:szCs w:val="18"/>
              </w:rPr>
            </w:pPr>
            <w:r>
              <w:rPr>
                <w:rFonts w:hint="eastAsia" w:cs="宋体"/>
                <w:sz w:val="18"/>
                <w:szCs w:val="18"/>
                <w:lang w:bidi="ar"/>
              </w:rPr>
              <w:t>天面</w:t>
            </w:r>
          </w:p>
        </w:tc>
        <w:tc>
          <w:tcPr>
            <w:tcW w:w="1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EEB4A">
            <w:pPr>
              <w:snapToGrid w:val="0"/>
              <w:jc w:val="left"/>
              <w:textAlignment w:val="center"/>
              <w:rPr>
                <w:rFonts w:cs="宋体"/>
                <w:sz w:val="18"/>
                <w:szCs w:val="18"/>
              </w:rPr>
            </w:pPr>
            <w:r>
              <w:rPr>
                <w:rFonts w:hint="eastAsia" w:cs="宋体"/>
                <w:sz w:val="18"/>
                <w:szCs w:val="18"/>
                <w:lang w:bidi="ar"/>
              </w:rPr>
              <w:t>3个电梯机房和空调控制机房缺少烟感报警器</w:t>
            </w: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0F78E">
            <w:pPr>
              <w:snapToGrid w:val="0"/>
              <w:textAlignment w:val="center"/>
              <w:rPr>
                <w:rFonts w:cs="宋体"/>
              </w:rPr>
            </w:pPr>
            <w:r>
              <w:rPr>
                <w:rFonts w:hint="eastAsia" w:cs="宋体"/>
              </w:rPr>
              <w:drawing>
                <wp:inline distT="0" distB="0" distL="114300" distR="114300">
                  <wp:extent cx="752475" cy="1000125"/>
                  <wp:effectExtent l="0" t="0" r="9525" b="9525"/>
                  <wp:docPr id="8" name="图片 11"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1" descr="IMG_266"/>
                          <pic:cNvPicPr>
                            <a:picLocks noChangeAspect="1"/>
                          </pic:cNvPicPr>
                        </pic:nvPicPr>
                        <pic:blipFill>
                          <a:blip r:embed="rId14"/>
                          <a:stretch>
                            <a:fillRect/>
                          </a:stretch>
                        </pic:blipFill>
                        <pic:spPr>
                          <a:xfrm>
                            <a:off x="0" y="0"/>
                            <a:ext cx="752475" cy="1000125"/>
                          </a:xfrm>
                          <a:prstGeom prst="rect">
                            <a:avLst/>
                          </a:prstGeom>
                          <a:noFill/>
                          <a:ln w="9525">
                            <a:noFill/>
                          </a:ln>
                        </pic:spPr>
                      </pic:pic>
                    </a:graphicData>
                  </a:graphic>
                </wp:inline>
              </w:drawing>
            </w:r>
          </w:p>
        </w:tc>
        <w:tc>
          <w:tcPr>
            <w:tcW w:w="1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194346">
            <w:pPr>
              <w:snapToGrid w:val="0"/>
              <w:jc w:val="left"/>
              <w:textAlignment w:val="center"/>
              <w:rPr>
                <w:rFonts w:cs="宋体"/>
                <w:sz w:val="16"/>
                <w:szCs w:val="16"/>
              </w:rPr>
            </w:pPr>
            <w:r>
              <w:rPr>
                <w:rFonts w:hint="eastAsia" w:cs="宋体"/>
                <w:sz w:val="16"/>
                <w:szCs w:val="16"/>
                <w:lang w:bidi="ar"/>
              </w:rPr>
              <w:t>每个机房增加1个烟感探测器</w:t>
            </w:r>
          </w:p>
        </w:tc>
        <w:tc>
          <w:tcPr>
            <w:tcW w:w="28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EA7599">
            <w:pPr>
              <w:snapToGrid w:val="0"/>
              <w:jc w:val="left"/>
              <w:textAlignment w:val="center"/>
              <w:rPr>
                <w:rFonts w:cs="宋体"/>
                <w:sz w:val="16"/>
                <w:szCs w:val="16"/>
              </w:rPr>
            </w:pPr>
            <w:r>
              <w:rPr>
                <w:rFonts w:hint="eastAsia" w:cs="宋体"/>
                <w:sz w:val="16"/>
                <w:szCs w:val="16"/>
                <w:lang w:bidi="ar"/>
              </w:rPr>
              <w:t>火灾自动报警系统设计规范 GB50116-2013 &gt;，6.2 火灾探测器的设置，6.2.2 点型火灾探测器的设置应符合下列规定：</w:t>
            </w:r>
            <w:r>
              <w:rPr>
                <w:rFonts w:hint="eastAsia" w:cs="宋体"/>
                <w:sz w:val="16"/>
                <w:szCs w:val="16"/>
                <w:lang w:bidi="ar"/>
              </w:rPr>
              <w:br w:type="textWrapping"/>
            </w:r>
            <w:r>
              <w:rPr>
                <w:rFonts w:hint="eastAsia" w:cs="宋体"/>
                <w:sz w:val="16"/>
                <w:szCs w:val="16"/>
                <w:lang w:bidi="ar"/>
              </w:rPr>
              <w:t xml:space="preserve">    1 探测区域的每个房间应至少设置一只火灾探测器。</w:t>
            </w:r>
          </w:p>
        </w:tc>
      </w:tr>
      <w:tr w14:paraId="0C6D3078">
        <w:tblPrEx>
          <w:tblCellMar>
            <w:top w:w="0" w:type="dxa"/>
            <w:left w:w="108" w:type="dxa"/>
            <w:bottom w:w="0" w:type="dxa"/>
            <w:right w:w="108" w:type="dxa"/>
          </w:tblCellMar>
        </w:tblPrEx>
        <w:trPr>
          <w:jc w:val="center"/>
        </w:trPr>
        <w:tc>
          <w:tcPr>
            <w:tcW w:w="6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43B0D9">
            <w:pPr>
              <w:snapToGrid w:val="0"/>
              <w:textAlignment w:val="center"/>
              <w:rPr>
                <w:rFonts w:cs="宋体"/>
              </w:rPr>
            </w:pPr>
            <w:r>
              <w:rPr>
                <w:rFonts w:hint="eastAsia" w:cs="宋体"/>
                <w:lang w:bidi="ar"/>
              </w:rPr>
              <w:t>13</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16F0B">
            <w:pPr>
              <w:snapToGrid w:val="0"/>
              <w:textAlignment w:val="center"/>
              <w:rPr>
                <w:rFonts w:cs="宋体"/>
                <w:sz w:val="18"/>
                <w:szCs w:val="18"/>
              </w:rPr>
            </w:pPr>
            <w:r>
              <w:rPr>
                <w:rFonts w:hint="eastAsia" w:cs="宋体"/>
                <w:sz w:val="18"/>
                <w:szCs w:val="18"/>
                <w:lang w:bidi="ar"/>
              </w:rPr>
              <w:t>电梯装置</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DE3E2">
            <w:pPr>
              <w:snapToGrid w:val="0"/>
              <w:textAlignment w:val="center"/>
              <w:rPr>
                <w:rFonts w:cs="宋体"/>
                <w:sz w:val="18"/>
                <w:szCs w:val="18"/>
              </w:rPr>
            </w:pPr>
            <w:r>
              <w:rPr>
                <w:rFonts w:hint="eastAsia" w:cs="宋体"/>
                <w:sz w:val="18"/>
                <w:szCs w:val="18"/>
                <w:lang w:bidi="ar"/>
              </w:rPr>
              <w:t>天面</w:t>
            </w:r>
          </w:p>
        </w:tc>
        <w:tc>
          <w:tcPr>
            <w:tcW w:w="1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26C92">
            <w:pPr>
              <w:snapToGrid w:val="0"/>
              <w:jc w:val="left"/>
              <w:textAlignment w:val="center"/>
              <w:rPr>
                <w:rFonts w:cs="宋体"/>
                <w:sz w:val="18"/>
                <w:szCs w:val="18"/>
              </w:rPr>
            </w:pPr>
            <w:r>
              <w:rPr>
                <w:rFonts w:hint="eastAsia" w:cs="宋体"/>
                <w:sz w:val="18"/>
                <w:szCs w:val="18"/>
                <w:lang w:bidi="ar"/>
              </w:rPr>
              <w:t>3个电梯机房、空调控制机房缺少干粉灭火器</w:t>
            </w: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132DE">
            <w:pPr>
              <w:snapToGrid w:val="0"/>
              <w:textAlignment w:val="center"/>
              <w:rPr>
                <w:rFonts w:cs="宋体"/>
              </w:rPr>
            </w:pPr>
            <w:r>
              <w:rPr>
                <w:rFonts w:hint="eastAsia" w:cs="宋体"/>
              </w:rPr>
              <w:drawing>
                <wp:inline distT="0" distB="0" distL="114300" distR="114300">
                  <wp:extent cx="1209675" cy="904875"/>
                  <wp:effectExtent l="0" t="0" r="9525" b="9525"/>
                  <wp:docPr id="9" name="图片 12"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2" descr="IMG_267"/>
                          <pic:cNvPicPr>
                            <a:picLocks noChangeAspect="1"/>
                          </pic:cNvPicPr>
                        </pic:nvPicPr>
                        <pic:blipFill>
                          <a:blip r:embed="rId15"/>
                          <a:stretch>
                            <a:fillRect/>
                          </a:stretch>
                        </pic:blipFill>
                        <pic:spPr>
                          <a:xfrm>
                            <a:off x="0" y="0"/>
                            <a:ext cx="1209675" cy="904875"/>
                          </a:xfrm>
                          <a:prstGeom prst="rect">
                            <a:avLst/>
                          </a:prstGeom>
                          <a:noFill/>
                          <a:ln w="9525">
                            <a:noFill/>
                          </a:ln>
                        </pic:spPr>
                      </pic:pic>
                    </a:graphicData>
                  </a:graphic>
                </wp:inline>
              </w:drawing>
            </w:r>
          </w:p>
        </w:tc>
        <w:tc>
          <w:tcPr>
            <w:tcW w:w="1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C8FE34">
            <w:pPr>
              <w:snapToGrid w:val="0"/>
              <w:jc w:val="left"/>
              <w:textAlignment w:val="center"/>
              <w:rPr>
                <w:rFonts w:cs="宋体"/>
                <w:sz w:val="16"/>
                <w:szCs w:val="16"/>
              </w:rPr>
            </w:pPr>
            <w:r>
              <w:rPr>
                <w:rFonts w:hint="eastAsia" w:cs="宋体"/>
                <w:sz w:val="16"/>
                <w:szCs w:val="16"/>
                <w:lang w:bidi="ar"/>
              </w:rPr>
              <w:t>每个机房增加1套干粉吊球（8公斤的）</w:t>
            </w:r>
          </w:p>
        </w:tc>
        <w:tc>
          <w:tcPr>
            <w:tcW w:w="28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3E5A6E">
            <w:pPr>
              <w:snapToGrid w:val="0"/>
              <w:jc w:val="left"/>
              <w:textAlignment w:val="center"/>
              <w:rPr>
                <w:rFonts w:cs="宋体"/>
                <w:sz w:val="16"/>
                <w:szCs w:val="16"/>
              </w:rPr>
            </w:pPr>
            <w:r>
              <w:rPr>
                <w:rFonts w:hint="eastAsia" w:cs="宋体"/>
                <w:sz w:val="16"/>
                <w:szCs w:val="16"/>
                <w:lang w:bidi="ar"/>
              </w:rPr>
              <w:t>火灾自动报警系统设计规范 GB50116-2013 &gt;，6.2 火灾探测器的设置，6.2.2 点型火灾探测器的设置应符合下列规定：</w:t>
            </w:r>
            <w:r>
              <w:rPr>
                <w:rFonts w:hint="eastAsia" w:cs="宋体"/>
                <w:sz w:val="16"/>
                <w:szCs w:val="16"/>
                <w:lang w:bidi="ar"/>
              </w:rPr>
              <w:br w:type="textWrapping"/>
            </w:r>
            <w:r>
              <w:rPr>
                <w:rFonts w:hint="eastAsia" w:cs="宋体"/>
                <w:sz w:val="16"/>
                <w:szCs w:val="16"/>
                <w:lang w:bidi="ar"/>
              </w:rPr>
              <w:t xml:space="preserve">    1探测区域的每个房间应至少设置一只火灾探测器。</w:t>
            </w:r>
          </w:p>
        </w:tc>
      </w:tr>
      <w:tr w14:paraId="116E532B">
        <w:tblPrEx>
          <w:tblCellMar>
            <w:top w:w="0" w:type="dxa"/>
            <w:left w:w="108" w:type="dxa"/>
            <w:bottom w:w="0" w:type="dxa"/>
            <w:right w:w="108" w:type="dxa"/>
          </w:tblCellMar>
        </w:tblPrEx>
        <w:trPr>
          <w:jc w:val="center"/>
        </w:trPr>
        <w:tc>
          <w:tcPr>
            <w:tcW w:w="6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9AB37A">
            <w:pPr>
              <w:snapToGrid w:val="0"/>
              <w:textAlignment w:val="center"/>
              <w:rPr>
                <w:rFonts w:cs="宋体"/>
              </w:rPr>
            </w:pPr>
            <w:r>
              <w:rPr>
                <w:rFonts w:hint="eastAsia" w:cs="宋体"/>
                <w:lang w:bidi="ar"/>
              </w:rPr>
              <w:t>14</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61D58">
            <w:pPr>
              <w:snapToGrid w:val="0"/>
              <w:textAlignment w:val="center"/>
              <w:rPr>
                <w:rFonts w:cs="宋体"/>
                <w:sz w:val="18"/>
                <w:szCs w:val="18"/>
              </w:rPr>
            </w:pPr>
            <w:r>
              <w:rPr>
                <w:rFonts w:hint="eastAsia" w:cs="宋体"/>
                <w:sz w:val="18"/>
                <w:szCs w:val="18"/>
                <w:lang w:bidi="ar"/>
              </w:rPr>
              <w:t>信息化耗材仓库</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88D4C">
            <w:pPr>
              <w:snapToGrid w:val="0"/>
              <w:textAlignment w:val="center"/>
              <w:rPr>
                <w:rFonts w:cs="宋体"/>
                <w:sz w:val="18"/>
                <w:szCs w:val="18"/>
              </w:rPr>
            </w:pPr>
            <w:r>
              <w:rPr>
                <w:rFonts w:hint="eastAsia" w:cs="宋体"/>
                <w:sz w:val="18"/>
                <w:szCs w:val="18"/>
                <w:lang w:bidi="ar"/>
              </w:rPr>
              <w:t>7楼</w:t>
            </w:r>
          </w:p>
        </w:tc>
        <w:tc>
          <w:tcPr>
            <w:tcW w:w="1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914AD">
            <w:pPr>
              <w:snapToGrid w:val="0"/>
              <w:jc w:val="left"/>
              <w:textAlignment w:val="center"/>
              <w:rPr>
                <w:rFonts w:cs="宋体"/>
                <w:sz w:val="18"/>
                <w:szCs w:val="18"/>
              </w:rPr>
            </w:pPr>
            <w:r>
              <w:rPr>
                <w:rFonts w:hint="eastAsia" w:cs="宋体"/>
                <w:sz w:val="18"/>
                <w:szCs w:val="18"/>
                <w:lang w:bidi="ar"/>
              </w:rPr>
              <w:t>缺少烟感报警装置；</w:t>
            </w:r>
          </w:p>
        </w:tc>
        <w:tc>
          <w:tcPr>
            <w:tcW w:w="21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D090A6">
            <w:pPr>
              <w:snapToGrid w:val="0"/>
              <w:textAlignment w:val="center"/>
              <w:rPr>
                <w:rFonts w:cs="宋体"/>
              </w:rPr>
            </w:pPr>
            <w:r>
              <w:rPr>
                <w:rFonts w:hint="eastAsia" w:cs="宋体"/>
                <w:lang w:bidi="ar"/>
              </w:rPr>
              <w:t>/</w:t>
            </w:r>
          </w:p>
        </w:tc>
        <w:tc>
          <w:tcPr>
            <w:tcW w:w="1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7C8F0B">
            <w:pPr>
              <w:snapToGrid w:val="0"/>
              <w:jc w:val="left"/>
              <w:textAlignment w:val="center"/>
              <w:rPr>
                <w:rFonts w:cs="宋体"/>
                <w:sz w:val="16"/>
                <w:szCs w:val="16"/>
              </w:rPr>
            </w:pPr>
            <w:r>
              <w:rPr>
                <w:rFonts w:hint="eastAsia" w:cs="宋体"/>
                <w:sz w:val="16"/>
                <w:szCs w:val="16"/>
                <w:lang w:bidi="ar"/>
              </w:rPr>
              <w:t>增加1个烟感</w:t>
            </w:r>
          </w:p>
        </w:tc>
        <w:tc>
          <w:tcPr>
            <w:tcW w:w="28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DEE1C7">
            <w:pPr>
              <w:snapToGrid w:val="0"/>
              <w:jc w:val="left"/>
              <w:textAlignment w:val="center"/>
              <w:rPr>
                <w:rFonts w:cs="宋体"/>
                <w:sz w:val="16"/>
                <w:szCs w:val="16"/>
              </w:rPr>
            </w:pPr>
            <w:r>
              <w:rPr>
                <w:rFonts w:hint="eastAsia" w:cs="宋体"/>
                <w:sz w:val="16"/>
                <w:szCs w:val="16"/>
                <w:lang w:bidi="ar"/>
              </w:rPr>
              <w:t>火灾自动报警系统设计规范 GB50116-2013 &gt;，6.2 火灾探测器的设置，6.2.2 点型火灾探测器的设置应符合下列规定：</w:t>
            </w:r>
            <w:r>
              <w:rPr>
                <w:rFonts w:hint="eastAsia" w:cs="宋体"/>
                <w:sz w:val="16"/>
                <w:szCs w:val="16"/>
                <w:lang w:bidi="ar"/>
              </w:rPr>
              <w:br w:type="textWrapping"/>
            </w:r>
            <w:r>
              <w:rPr>
                <w:rFonts w:hint="eastAsia" w:cs="宋体"/>
                <w:sz w:val="16"/>
                <w:szCs w:val="16"/>
                <w:lang w:bidi="ar"/>
              </w:rPr>
              <w:t xml:space="preserve">    1探测区域的每个房间应至少设置一只火灾探测器。</w:t>
            </w:r>
          </w:p>
        </w:tc>
      </w:tr>
      <w:tr w14:paraId="1DDA691C">
        <w:tblPrEx>
          <w:tblCellMar>
            <w:top w:w="0" w:type="dxa"/>
            <w:left w:w="108" w:type="dxa"/>
            <w:bottom w:w="0" w:type="dxa"/>
            <w:right w:w="108" w:type="dxa"/>
          </w:tblCellMar>
        </w:tblPrEx>
        <w:trPr>
          <w:jc w:val="center"/>
        </w:trPr>
        <w:tc>
          <w:tcPr>
            <w:tcW w:w="6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BE44E3">
            <w:pPr>
              <w:snapToGrid w:val="0"/>
              <w:textAlignment w:val="center"/>
              <w:rPr>
                <w:rFonts w:cs="宋体"/>
              </w:rPr>
            </w:pPr>
            <w:r>
              <w:rPr>
                <w:rFonts w:hint="eastAsia" w:cs="宋体"/>
                <w:lang w:bidi="ar"/>
              </w:rPr>
              <w:t>15</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A0E42">
            <w:pPr>
              <w:snapToGrid w:val="0"/>
              <w:textAlignment w:val="center"/>
              <w:rPr>
                <w:rFonts w:cs="宋体"/>
                <w:sz w:val="18"/>
                <w:szCs w:val="18"/>
              </w:rPr>
            </w:pPr>
            <w:r>
              <w:rPr>
                <w:rFonts w:hint="eastAsia" w:cs="宋体"/>
                <w:sz w:val="18"/>
                <w:szCs w:val="18"/>
                <w:lang w:bidi="ar"/>
              </w:rPr>
              <w:t>实验室</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3FAC1">
            <w:pPr>
              <w:snapToGrid w:val="0"/>
              <w:textAlignment w:val="center"/>
              <w:rPr>
                <w:rFonts w:cs="宋体"/>
                <w:sz w:val="18"/>
                <w:szCs w:val="18"/>
              </w:rPr>
            </w:pPr>
            <w:r>
              <w:rPr>
                <w:rFonts w:hint="eastAsia" w:cs="宋体"/>
                <w:sz w:val="18"/>
                <w:szCs w:val="18"/>
                <w:lang w:bidi="ar"/>
              </w:rPr>
              <w:t>7楼</w:t>
            </w:r>
          </w:p>
        </w:tc>
        <w:tc>
          <w:tcPr>
            <w:tcW w:w="1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9AE7C">
            <w:pPr>
              <w:snapToGrid w:val="0"/>
              <w:jc w:val="left"/>
              <w:textAlignment w:val="center"/>
              <w:rPr>
                <w:rFonts w:cs="宋体"/>
                <w:sz w:val="18"/>
                <w:szCs w:val="18"/>
              </w:rPr>
            </w:pPr>
            <w:r>
              <w:rPr>
                <w:rFonts w:hint="eastAsia" w:cs="宋体"/>
                <w:sz w:val="18"/>
                <w:szCs w:val="18"/>
                <w:lang w:bidi="ar"/>
              </w:rPr>
              <w:t>生物实验室其中一个设备小房缺少自动灭火装置，其他消防设施实际位置与主机显示不一致</w:t>
            </w: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4EF7A">
            <w:pPr>
              <w:snapToGrid w:val="0"/>
              <w:textAlignment w:val="center"/>
              <w:rPr>
                <w:rFonts w:cs="宋体"/>
              </w:rPr>
            </w:pPr>
            <w:r>
              <w:rPr>
                <w:rFonts w:hint="eastAsia" w:cs="宋体"/>
              </w:rPr>
              <w:drawing>
                <wp:inline distT="0" distB="0" distL="114300" distR="114300">
                  <wp:extent cx="952500" cy="1266825"/>
                  <wp:effectExtent l="0" t="0" r="0" b="9525"/>
                  <wp:docPr id="4" name="图片 13" descr="IMG_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3" descr="IMG_268"/>
                          <pic:cNvPicPr>
                            <a:picLocks noChangeAspect="1"/>
                          </pic:cNvPicPr>
                        </pic:nvPicPr>
                        <pic:blipFill>
                          <a:blip r:embed="rId16"/>
                          <a:stretch>
                            <a:fillRect/>
                          </a:stretch>
                        </pic:blipFill>
                        <pic:spPr>
                          <a:xfrm>
                            <a:off x="0" y="0"/>
                            <a:ext cx="952500" cy="1266825"/>
                          </a:xfrm>
                          <a:prstGeom prst="rect">
                            <a:avLst/>
                          </a:prstGeom>
                          <a:noFill/>
                          <a:ln w="9525">
                            <a:noFill/>
                          </a:ln>
                        </pic:spPr>
                      </pic:pic>
                    </a:graphicData>
                  </a:graphic>
                </wp:inline>
              </w:drawing>
            </w:r>
          </w:p>
        </w:tc>
        <w:tc>
          <w:tcPr>
            <w:tcW w:w="1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91445B">
            <w:pPr>
              <w:snapToGrid w:val="0"/>
              <w:jc w:val="left"/>
              <w:textAlignment w:val="center"/>
              <w:rPr>
                <w:rFonts w:cs="宋体"/>
                <w:sz w:val="16"/>
                <w:szCs w:val="16"/>
              </w:rPr>
            </w:pPr>
            <w:r>
              <w:rPr>
                <w:rFonts w:hint="eastAsia" w:cs="宋体"/>
                <w:sz w:val="16"/>
                <w:szCs w:val="16"/>
                <w:lang w:bidi="ar"/>
              </w:rPr>
              <w:t>1、实验室设备房增加干球吊球装置；</w:t>
            </w:r>
            <w:r>
              <w:rPr>
                <w:rFonts w:hint="eastAsia" w:cs="宋体"/>
                <w:sz w:val="16"/>
                <w:szCs w:val="16"/>
                <w:lang w:bidi="ar"/>
              </w:rPr>
              <w:br w:type="textWrapping"/>
            </w:r>
            <w:r>
              <w:rPr>
                <w:rFonts w:hint="eastAsia" w:cs="宋体"/>
                <w:sz w:val="16"/>
                <w:szCs w:val="16"/>
                <w:lang w:bidi="ar"/>
              </w:rPr>
              <w:t>2、CRT图文主机修改底图；</w:t>
            </w:r>
          </w:p>
        </w:tc>
        <w:tc>
          <w:tcPr>
            <w:tcW w:w="28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737C69">
            <w:pPr>
              <w:snapToGrid w:val="0"/>
              <w:jc w:val="left"/>
              <w:textAlignment w:val="center"/>
              <w:rPr>
                <w:rFonts w:cs="宋体"/>
                <w:sz w:val="16"/>
                <w:szCs w:val="16"/>
              </w:rPr>
            </w:pPr>
            <w:r>
              <w:rPr>
                <w:rFonts w:hint="eastAsia" w:cs="宋体"/>
                <w:sz w:val="16"/>
                <w:szCs w:val="16"/>
                <w:lang w:bidi="ar"/>
              </w:rPr>
              <w:t>火灾自动报警系统设计规范 GB50116-2013 &gt;，6.2 火灾探测器的设置，6.2.2 点型火灾探测器的设置应符合下列规定：</w:t>
            </w:r>
            <w:r>
              <w:rPr>
                <w:rFonts w:hint="eastAsia" w:cs="宋体"/>
                <w:sz w:val="16"/>
                <w:szCs w:val="16"/>
                <w:lang w:bidi="ar"/>
              </w:rPr>
              <w:br w:type="textWrapping"/>
            </w:r>
            <w:r>
              <w:rPr>
                <w:rFonts w:hint="eastAsia" w:cs="宋体"/>
                <w:sz w:val="16"/>
                <w:szCs w:val="16"/>
                <w:lang w:bidi="ar"/>
              </w:rPr>
              <w:t xml:space="preserve">    1探测区域的每个房间应至少设置自动灭火装置</w:t>
            </w:r>
          </w:p>
        </w:tc>
      </w:tr>
      <w:tr w14:paraId="22692DB7">
        <w:tblPrEx>
          <w:tblCellMar>
            <w:top w:w="0" w:type="dxa"/>
            <w:left w:w="108" w:type="dxa"/>
            <w:bottom w:w="0" w:type="dxa"/>
            <w:right w:w="108" w:type="dxa"/>
          </w:tblCellMar>
        </w:tblPrEx>
        <w:trPr>
          <w:jc w:val="center"/>
        </w:trPr>
        <w:tc>
          <w:tcPr>
            <w:tcW w:w="6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B68914">
            <w:pPr>
              <w:snapToGrid w:val="0"/>
              <w:textAlignment w:val="center"/>
              <w:rPr>
                <w:rFonts w:cs="宋体"/>
              </w:rPr>
            </w:pPr>
            <w:r>
              <w:rPr>
                <w:rFonts w:hint="eastAsia" w:cs="宋体"/>
                <w:lang w:bidi="ar"/>
              </w:rPr>
              <w:t>16</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B861D">
            <w:pPr>
              <w:snapToGrid w:val="0"/>
              <w:textAlignment w:val="center"/>
              <w:rPr>
                <w:rFonts w:cs="宋体"/>
                <w:sz w:val="18"/>
                <w:szCs w:val="18"/>
              </w:rPr>
            </w:pPr>
            <w:r>
              <w:rPr>
                <w:rFonts w:hint="eastAsia" w:cs="宋体"/>
                <w:sz w:val="18"/>
                <w:szCs w:val="18"/>
                <w:lang w:bidi="ar"/>
              </w:rPr>
              <w:t>防排烟系统</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14994">
            <w:pPr>
              <w:snapToGrid w:val="0"/>
              <w:textAlignment w:val="center"/>
              <w:rPr>
                <w:rFonts w:cs="宋体"/>
                <w:sz w:val="18"/>
                <w:szCs w:val="18"/>
              </w:rPr>
            </w:pPr>
            <w:r>
              <w:rPr>
                <w:rFonts w:hint="eastAsia" w:cs="宋体"/>
                <w:sz w:val="18"/>
                <w:szCs w:val="18"/>
                <w:lang w:bidi="ar"/>
              </w:rPr>
              <w:t>天面</w:t>
            </w:r>
          </w:p>
        </w:tc>
        <w:tc>
          <w:tcPr>
            <w:tcW w:w="1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96984">
            <w:pPr>
              <w:snapToGrid w:val="0"/>
              <w:jc w:val="left"/>
              <w:textAlignment w:val="center"/>
              <w:rPr>
                <w:rFonts w:cs="宋体"/>
                <w:sz w:val="18"/>
                <w:szCs w:val="18"/>
              </w:rPr>
            </w:pPr>
            <w:r>
              <w:rPr>
                <w:rFonts w:hint="eastAsia" w:cs="宋体"/>
                <w:sz w:val="18"/>
                <w:szCs w:val="18"/>
                <w:lang w:bidi="ar"/>
              </w:rPr>
              <w:t>排烟和送风机房管道穿墙处锈蚀（3条通风管道）</w:t>
            </w: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1C712">
            <w:pPr>
              <w:snapToGrid w:val="0"/>
              <w:textAlignment w:val="center"/>
              <w:rPr>
                <w:rFonts w:cs="宋体"/>
              </w:rPr>
            </w:pPr>
            <w:r>
              <w:rPr>
                <w:rFonts w:hint="eastAsia" w:cs="宋体"/>
              </w:rPr>
              <w:drawing>
                <wp:inline distT="0" distB="0" distL="114300" distR="114300">
                  <wp:extent cx="952500" cy="1266825"/>
                  <wp:effectExtent l="0" t="0" r="0" b="9525"/>
                  <wp:docPr id="3" name="图片 14" descr="IMG_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4" descr="IMG_269"/>
                          <pic:cNvPicPr>
                            <a:picLocks noChangeAspect="1"/>
                          </pic:cNvPicPr>
                        </pic:nvPicPr>
                        <pic:blipFill>
                          <a:blip r:embed="rId17"/>
                          <a:stretch>
                            <a:fillRect/>
                          </a:stretch>
                        </pic:blipFill>
                        <pic:spPr>
                          <a:xfrm>
                            <a:off x="0" y="0"/>
                            <a:ext cx="952500" cy="1266825"/>
                          </a:xfrm>
                          <a:prstGeom prst="rect">
                            <a:avLst/>
                          </a:prstGeom>
                          <a:noFill/>
                          <a:ln w="9525">
                            <a:noFill/>
                          </a:ln>
                        </pic:spPr>
                      </pic:pic>
                    </a:graphicData>
                  </a:graphic>
                </wp:inline>
              </w:drawing>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3F276">
            <w:pPr>
              <w:snapToGrid w:val="0"/>
              <w:jc w:val="left"/>
              <w:textAlignment w:val="center"/>
              <w:rPr>
                <w:rFonts w:cs="宋体"/>
                <w:sz w:val="18"/>
                <w:szCs w:val="18"/>
              </w:rPr>
            </w:pPr>
            <w:r>
              <w:rPr>
                <w:rFonts w:hint="eastAsia" w:cs="宋体"/>
                <w:sz w:val="18"/>
                <w:szCs w:val="18"/>
                <w:lang w:bidi="ar"/>
              </w:rPr>
              <w:t>处理锈蚀的3条通风管道（若要更换，穿墙处需要用不锈钢材质防止以后再次生锈）</w:t>
            </w:r>
          </w:p>
        </w:tc>
        <w:tc>
          <w:tcPr>
            <w:tcW w:w="28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D438C3">
            <w:pPr>
              <w:snapToGrid w:val="0"/>
              <w:jc w:val="left"/>
              <w:textAlignment w:val="center"/>
              <w:rPr>
                <w:rFonts w:cs="宋体"/>
                <w:sz w:val="16"/>
                <w:szCs w:val="16"/>
              </w:rPr>
            </w:pPr>
            <w:r>
              <w:rPr>
                <w:rFonts w:hint="eastAsia" w:cs="宋体"/>
                <w:sz w:val="16"/>
                <w:szCs w:val="16"/>
                <w:lang w:bidi="ar"/>
              </w:rPr>
              <w:t>建筑防烟排烟系统技术标准 GB51251-2017 其他要求：隔热、连接与封堵，管道穿越防火墙或者楼板后的孔隙，必须用防火封堵材料严密封堵。</w:t>
            </w:r>
          </w:p>
        </w:tc>
      </w:tr>
    </w:tbl>
    <w:p w14:paraId="207CF07C">
      <w:pPr>
        <w:jc w:val="both"/>
      </w:pPr>
    </w:p>
    <w:sectPr>
      <w:pgSz w:w="11906" w:h="16838"/>
      <w:pgMar w:top="993" w:right="612" w:bottom="986" w:left="612"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1" w:fontKey="{5B1F59E8-4037-4A3C-8EB6-3E5D8888F122}"/>
  </w:font>
  <w:font w:name="仿宋">
    <w:panose1 w:val="02010609060101010101"/>
    <w:charset w:val="86"/>
    <w:family w:val="modern"/>
    <w:pitch w:val="default"/>
    <w:sig w:usb0="800002BF" w:usb1="38CF7CFA" w:usb2="00000016" w:usb3="00000000" w:csb0="00040001" w:csb1="00000000"/>
  </w:font>
  <w:font w:name="方正小标宋_GBK">
    <w:panose1 w:val="02000000000000000000"/>
    <w:charset w:val="86"/>
    <w:family w:val="script"/>
    <w:pitch w:val="default"/>
    <w:sig w:usb0="A00002BF" w:usb1="38CF7CFA" w:usb2="00082016" w:usb3="00000000" w:csb0="00040001" w:csb1="00000000"/>
    <w:embedRegular r:id="rId2" w:fontKey="{6CFB3A79-6CC2-4C81-A459-A7A9A4D2DBBC}"/>
  </w:font>
  <w:font w:name="方正小标宋简体">
    <w:panose1 w:val="02000000000000000000"/>
    <w:charset w:val="86"/>
    <w:family w:val="auto"/>
    <w:pitch w:val="default"/>
    <w:sig w:usb0="00000001" w:usb1="08000000" w:usb2="00000000" w:usb3="00000000" w:csb0="00040000" w:csb1="00000000"/>
    <w:embedRegular r:id="rId3" w:fontKey="{3BDF0B34-42EE-4687-88F4-C45FDAE1614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B6C78F"/>
    <w:multiLevelType w:val="singleLevel"/>
    <w:tmpl w:val="B1B6C78F"/>
    <w:lvl w:ilvl="0" w:tentative="0">
      <w:start w:val="1"/>
      <w:numFmt w:val="decimal"/>
      <w:lvlText w:val="%1."/>
      <w:lvlJc w:val="left"/>
      <w:pPr>
        <w:ind w:left="425" w:hanging="425"/>
      </w:pPr>
      <w:rPr>
        <w:rFonts w:hint="default"/>
      </w:rPr>
    </w:lvl>
  </w:abstractNum>
  <w:abstractNum w:abstractNumId="1">
    <w:nsid w:val="CEEBFEF8"/>
    <w:multiLevelType w:val="singleLevel"/>
    <w:tmpl w:val="CEEBFEF8"/>
    <w:lvl w:ilvl="0" w:tentative="0">
      <w:start w:val="1"/>
      <w:numFmt w:val="decimal"/>
      <w:lvlText w:val="%1."/>
      <w:lvlJc w:val="left"/>
      <w:pPr>
        <w:ind w:left="425" w:hanging="425"/>
      </w:pPr>
      <w:rPr>
        <w:rFonts w:hint="default"/>
      </w:rPr>
    </w:lvl>
  </w:abstractNum>
  <w:abstractNum w:abstractNumId="2">
    <w:nsid w:val="3FD44D5C"/>
    <w:multiLevelType w:val="singleLevel"/>
    <w:tmpl w:val="3FD44D5C"/>
    <w:lvl w:ilvl="0" w:tentative="0">
      <w:start w:val="1"/>
      <w:numFmt w:val="decimal"/>
      <w:lvlText w:val="%1."/>
      <w:lvlJc w:val="left"/>
      <w:pPr>
        <w:tabs>
          <w:tab w:val="left" w:pos="312"/>
        </w:tabs>
      </w:pPr>
    </w:lvl>
  </w:abstractNum>
  <w:abstractNum w:abstractNumId="3">
    <w:nsid w:val="62931E1B"/>
    <w:multiLevelType w:val="singleLevel"/>
    <w:tmpl w:val="62931E1B"/>
    <w:lvl w:ilvl="0" w:tentative="0">
      <w:start w:val="1"/>
      <w:numFmt w:val="decimal"/>
      <w:lvlText w:val="%1."/>
      <w:lvlJc w:val="left"/>
      <w:pPr>
        <w:tabs>
          <w:tab w:val="left" w:pos="312"/>
        </w:tabs>
      </w:pPr>
    </w:lvl>
  </w:abstractNum>
  <w:abstractNum w:abstractNumId="4">
    <w:nsid w:val="7D83A9C5"/>
    <w:multiLevelType w:val="singleLevel"/>
    <w:tmpl w:val="7D83A9C5"/>
    <w:lvl w:ilvl="0" w:tentative="0">
      <w:start w:val="1"/>
      <w:numFmt w:val="decimal"/>
      <w:lvlText w:val="%1."/>
      <w:lvlJc w:val="left"/>
      <w:pPr>
        <w:tabs>
          <w:tab w:val="left" w:pos="312"/>
        </w:tabs>
      </w:p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5AE9"/>
    <w:rsid w:val="0000090A"/>
    <w:rsid w:val="00002A27"/>
    <w:rsid w:val="00011B82"/>
    <w:rsid w:val="00022396"/>
    <w:rsid w:val="000241C3"/>
    <w:rsid w:val="00024218"/>
    <w:rsid w:val="00024A31"/>
    <w:rsid w:val="000260F6"/>
    <w:rsid w:val="00027F1A"/>
    <w:rsid w:val="00033EC7"/>
    <w:rsid w:val="00040D64"/>
    <w:rsid w:val="00046274"/>
    <w:rsid w:val="000473FF"/>
    <w:rsid w:val="00050487"/>
    <w:rsid w:val="00050BF6"/>
    <w:rsid w:val="000535D6"/>
    <w:rsid w:val="00054904"/>
    <w:rsid w:val="00054C0A"/>
    <w:rsid w:val="00054FED"/>
    <w:rsid w:val="00055166"/>
    <w:rsid w:val="00056ED7"/>
    <w:rsid w:val="00057ABC"/>
    <w:rsid w:val="00060D4F"/>
    <w:rsid w:val="00061B01"/>
    <w:rsid w:val="00063B47"/>
    <w:rsid w:val="00066D60"/>
    <w:rsid w:val="00081625"/>
    <w:rsid w:val="00081DCA"/>
    <w:rsid w:val="00092748"/>
    <w:rsid w:val="000963DF"/>
    <w:rsid w:val="000969AD"/>
    <w:rsid w:val="00096B4C"/>
    <w:rsid w:val="00097F39"/>
    <w:rsid w:val="000A1A47"/>
    <w:rsid w:val="000A334F"/>
    <w:rsid w:val="000B5C11"/>
    <w:rsid w:val="000C3C06"/>
    <w:rsid w:val="000C4174"/>
    <w:rsid w:val="000C5BD2"/>
    <w:rsid w:val="000D0B15"/>
    <w:rsid w:val="000D170A"/>
    <w:rsid w:val="000D38E9"/>
    <w:rsid w:val="000D5954"/>
    <w:rsid w:val="000E1A9C"/>
    <w:rsid w:val="000E24AF"/>
    <w:rsid w:val="000F1131"/>
    <w:rsid w:val="000F2912"/>
    <w:rsid w:val="000F301A"/>
    <w:rsid w:val="000F6DE9"/>
    <w:rsid w:val="001011AB"/>
    <w:rsid w:val="001076B3"/>
    <w:rsid w:val="00111D09"/>
    <w:rsid w:val="00111F90"/>
    <w:rsid w:val="001251A8"/>
    <w:rsid w:val="0012630E"/>
    <w:rsid w:val="00141515"/>
    <w:rsid w:val="00156886"/>
    <w:rsid w:val="00162B46"/>
    <w:rsid w:val="001641B0"/>
    <w:rsid w:val="00171162"/>
    <w:rsid w:val="0017382F"/>
    <w:rsid w:val="001818F0"/>
    <w:rsid w:val="0018247A"/>
    <w:rsid w:val="00185417"/>
    <w:rsid w:val="0018666A"/>
    <w:rsid w:val="00191CF3"/>
    <w:rsid w:val="00191D5E"/>
    <w:rsid w:val="001967B4"/>
    <w:rsid w:val="001A049C"/>
    <w:rsid w:val="001B1FD0"/>
    <w:rsid w:val="001D10CC"/>
    <w:rsid w:val="001E01F8"/>
    <w:rsid w:val="001E28FF"/>
    <w:rsid w:val="001E4011"/>
    <w:rsid w:val="001E6A63"/>
    <w:rsid w:val="001F4D5B"/>
    <w:rsid w:val="00206B02"/>
    <w:rsid w:val="00215437"/>
    <w:rsid w:val="00215D3B"/>
    <w:rsid w:val="002160AE"/>
    <w:rsid w:val="002175B6"/>
    <w:rsid w:val="00221AC0"/>
    <w:rsid w:val="00230A6D"/>
    <w:rsid w:val="00230FBA"/>
    <w:rsid w:val="002320C7"/>
    <w:rsid w:val="00237E82"/>
    <w:rsid w:val="002473A7"/>
    <w:rsid w:val="00251BDD"/>
    <w:rsid w:val="00254BAE"/>
    <w:rsid w:val="002639FF"/>
    <w:rsid w:val="0026583B"/>
    <w:rsid w:val="00266845"/>
    <w:rsid w:val="00275D91"/>
    <w:rsid w:val="00277842"/>
    <w:rsid w:val="00277F64"/>
    <w:rsid w:val="002827A2"/>
    <w:rsid w:val="00284D25"/>
    <w:rsid w:val="002876E2"/>
    <w:rsid w:val="002902D8"/>
    <w:rsid w:val="0029043A"/>
    <w:rsid w:val="00290E3F"/>
    <w:rsid w:val="002918F2"/>
    <w:rsid w:val="00291FD5"/>
    <w:rsid w:val="00294C89"/>
    <w:rsid w:val="00296C3F"/>
    <w:rsid w:val="002A0E6D"/>
    <w:rsid w:val="002A213F"/>
    <w:rsid w:val="002A5544"/>
    <w:rsid w:val="002A63BB"/>
    <w:rsid w:val="002B365F"/>
    <w:rsid w:val="002B5648"/>
    <w:rsid w:val="002B5ECA"/>
    <w:rsid w:val="002B6E40"/>
    <w:rsid w:val="002C20AE"/>
    <w:rsid w:val="002C335B"/>
    <w:rsid w:val="002D1C4F"/>
    <w:rsid w:val="002D200D"/>
    <w:rsid w:val="002E7FD2"/>
    <w:rsid w:val="002F076D"/>
    <w:rsid w:val="002F0FE9"/>
    <w:rsid w:val="002F14AC"/>
    <w:rsid w:val="002F299C"/>
    <w:rsid w:val="002F3CF2"/>
    <w:rsid w:val="002F4520"/>
    <w:rsid w:val="002F6D1D"/>
    <w:rsid w:val="003019B0"/>
    <w:rsid w:val="00303128"/>
    <w:rsid w:val="0030385D"/>
    <w:rsid w:val="003056E4"/>
    <w:rsid w:val="003060A3"/>
    <w:rsid w:val="0031138F"/>
    <w:rsid w:val="0031483D"/>
    <w:rsid w:val="0032096F"/>
    <w:rsid w:val="00320A7E"/>
    <w:rsid w:val="003223D3"/>
    <w:rsid w:val="0033377A"/>
    <w:rsid w:val="00336590"/>
    <w:rsid w:val="00341EF3"/>
    <w:rsid w:val="003441F6"/>
    <w:rsid w:val="0035076A"/>
    <w:rsid w:val="00350CAF"/>
    <w:rsid w:val="00353AF7"/>
    <w:rsid w:val="003615A2"/>
    <w:rsid w:val="00361CC6"/>
    <w:rsid w:val="0036201A"/>
    <w:rsid w:val="00363931"/>
    <w:rsid w:val="00366241"/>
    <w:rsid w:val="00370DF4"/>
    <w:rsid w:val="0037313E"/>
    <w:rsid w:val="0037494A"/>
    <w:rsid w:val="0037521A"/>
    <w:rsid w:val="003766BB"/>
    <w:rsid w:val="00390626"/>
    <w:rsid w:val="00394830"/>
    <w:rsid w:val="003951F5"/>
    <w:rsid w:val="00395524"/>
    <w:rsid w:val="003A38A0"/>
    <w:rsid w:val="003A5378"/>
    <w:rsid w:val="003A602F"/>
    <w:rsid w:val="003A62FA"/>
    <w:rsid w:val="003B338F"/>
    <w:rsid w:val="003B6607"/>
    <w:rsid w:val="003C17CE"/>
    <w:rsid w:val="003C5A41"/>
    <w:rsid w:val="003D15EF"/>
    <w:rsid w:val="003D1EF0"/>
    <w:rsid w:val="003D2D47"/>
    <w:rsid w:val="003D3DA4"/>
    <w:rsid w:val="003D4336"/>
    <w:rsid w:val="003D4974"/>
    <w:rsid w:val="003E2D4F"/>
    <w:rsid w:val="003E462A"/>
    <w:rsid w:val="003E6EA9"/>
    <w:rsid w:val="003F371C"/>
    <w:rsid w:val="00401212"/>
    <w:rsid w:val="00407D1B"/>
    <w:rsid w:val="00413167"/>
    <w:rsid w:val="00415182"/>
    <w:rsid w:val="00416F16"/>
    <w:rsid w:val="00417349"/>
    <w:rsid w:val="00422E85"/>
    <w:rsid w:val="0043050C"/>
    <w:rsid w:val="00431DC1"/>
    <w:rsid w:val="00435F5A"/>
    <w:rsid w:val="00441374"/>
    <w:rsid w:val="00444170"/>
    <w:rsid w:val="00445E3F"/>
    <w:rsid w:val="00447465"/>
    <w:rsid w:val="0044750D"/>
    <w:rsid w:val="0045505A"/>
    <w:rsid w:val="00460633"/>
    <w:rsid w:val="00460960"/>
    <w:rsid w:val="00461517"/>
    <w:rsid w:val="004628E1"/>
    <w:rsid w:val="00462C27"/>
    <w:rsid w:val="00471A3B"/>
    <w:rsid w:val="00472342"/>
    <w:rsid w:val="00476019"/>
    <w:rsid w:val="0047631A"/>
    <w:rsid w:val="00486FCA"/>
    <w:rsid w:val="004935AF"/>
    <w:rsid w:val="004958A6"/>
    <w:rsid w:val="004A1104"/>
    <w:rsid w:val="004C0736"/>
    <w:rsid w:val="004C2143"/>
    <w:rsid w:val="004C218C"/>
    <w:rsid w:val="004C2EEF"/>
    <w:rsid w:val="004C3F84"/>
    <w:rsid w:val="004C5CAF"/>
    <w:rsid w:val="004C7348"/>
    <w:rsid w:val="004D3AE3"/>
    <w:rsid w:val="004E1273"/>
    <w:rsid w:val="004E5766"/>
    <w:rsid w:val="004E5B3E"/>
    <w:rsid w:val="004E6EAF"/>
    <w:rsid w:val="004E7C1A"/>
    <w:rsid w:val="004F7DD5"/>
    <w:rsid w:val="005035FD"/>
    <w:rsid w:val="0051104B"/>
    <w:rsid w:val="0051344E"/>
    <w:rsid w:val="005151B1"/>
    <w:rsid w:val="005165C0"/>
    <w:rsid w:val="00521192"/>
    <w:rsid w:val="00535022"/>
    <w:rsid w:val="0053613F"/>
    <w:rsid w:val="005364E8"/>
    <w:rsid w:val="00542F69"/>
    <w:rsid w:val="00545A25"/>
    <w:rsid w:val="00546BC1"/>
    <w:rsid w:val="00552796"/>
    <w:rsid w:val="00553E26"/>
    <w:rsid w:val="005547F3"/>
    <w:rsid w:val="0055545A"/>
    <w:rsid w:val="0056006D"/>
    <w:rsid w:val="00560AEC"/>
    <w:rsid w:val="00561185"/>
    <w:rsid w:val="0056286D"/>
    <w:rsid w:val="00574DEA"/>
    <w:rsid w:val="0057501A"/>
    <w:rsid w:val="00576BAB"/>
    <w:rsid w:val="00583BD6"/>
    <w:rsid w:val="005911AF"/>
    <w:rsid w:val="0059152C"/>
    <w:rsid w:val="005927F0"/>
    <w:rsid w:val="0059288C"/>
    <w:rsid w:val="00597769"/>
    <w:rsid w:val="00597FB6"/>
    <w:rsid w:val="005A4CB8"/>
    <w:rsid w:val="005A5604"/>
    <w:rsid w:val="005A6E97"/>
    <w:rsid w:val="005A7A76"/>
    <w:rsid w:val="005B087E"/>
    <w:rsid w:val="005B5ABC"/>
    <w:rsid w:val="005B63CE"/>
    <w:rsid w:val="005C580F"/>
    <w:rsid w:val="005C6994"/>
    <w:rsid w:val="005C75B6"/>
    <w:rsid w:val="005D0DF3"/>
    <w:rsid w:val="005D55FC"/>
    <w:rsid w:val="005D5AE9"/>
    <w:rsid w:val="005E0213"/>
    <w:rsid w:val="005E06EF"/>
    <w:rsid w:val="005E1B85"/>
    <w:rsid w:val="005E4B8D"/>
    <w:rsid w:val="005E5CC0"/>
    <w:rsid w:val="005F1640"/>
    <w:rsid w:val="005F1D5A"/>
    <w:rsid w:val="005F2085"/>
    <w:rsid w:val="005F4E94"/>
    <w:rsid w:val="006119A7"/>
    <w:rsid w:val="00614DFD"/>
    <w:rsid w:val="00616B14"/>
    <w:rsid w:val="006204AC"/>
    <w:rsid w:val="006242FD"/>
    <w:rsid w:val="006327BB"/>
    <w:rsid w:val="00632A40"/>
    <w:rsid w:val="00632E3F"/>
    <w:rsid w:val="00633C9D"/>
    <w:rsid w:val="00641BD4"/>
    <w:rsid w:val="0064362E"/>
    <w:rsid w:val="00644592"/>
    <w:rsid w:val="00646C21"/>
    <w:rsid w:val="00646CC9"/>
    <w:rsid w:val="00647449"/>
    <w:rsid w:val="006616C6"/>
    <w:rsid w:val="00663C02"/>
    <w:rsid w:val="00665B79"/>
    <w:rsid w:val="00670AF6"/>
    <w:rsid w:val="00671450"/>
    <w:rsid w:val="00677199"/>
    <w:rsid w:val="00680B2D"/>
    <w:rsid w:val="00684663"/>
    <w:rsid w:val="00685465"/>
    <w:rsid w:val="006978B9"/>
    <w:rsid w:val="006A03C8"/>
    <w:rsid w:val="006A0543"/>
    <w:rsid w:val="006A4B52"/>
    <w:rsid w:val="006B2300"/>
    <w:rsid w:val="006C0C6A"/>
    <w:rsid w:val="006C14A7"/>
    <w:rsid w:val="006C292F"/>
    <w:rsid w:val="006C77CB"/>
    <w:rsid w:val="006C7FEA"/>
    <w:rsid w:val="006D7F48"/>
    <w:rsid w:val="006E0F29"/>
    <w:rsid w:val="006E3BDF"/>
    <w:rsid w:val="006E5A0B"/>
    <w:rsid w:val="006E6ABD"/>
    <w:rsid w:val="006E6CDC"/>
    <w:rsid w:val="006F46E9"/>
    <w:rsid w:val="006F4B3C"/>
    <w:rsid w:val="006F4CAA"/>
    <w:rsid w:val="00704376"/>
    <w:rsid w:val="007050D0"/>
    <w:rsid w:val="0070519F"/>
    <w:rsid w:val="00714036"/>
    <w:rsid w:val="00716308"/>
    <w:rsid w:val="00722799"/>
    <w:rsid w:val="007278DD"/>
    <w:rsid w:val="007326BE"/>
    <w:rsid w:val="00732EDF"/>
    <w:rsid w:val="0073410B"/>
    <w:rsid w:val="007354E0"/>
    <w:rsid w:val="007360DA"/>
    <w:rsid w:val="00737114"/>
    <w:rsid w:val="0073790D"/>
    <w:rsid w:val="00740B8E"/>
    <w:rsid w:val="00743B8A"/>
    <w:rsid w:val="00745BFD"/>
    <w:rsid w:val="0075797B"/>
    <w:rsid w:val="00760E5F"/>
    <w:rsid w:val="00761371"/>
    <w:rsid w:val="0076541D"/>
    <w:rsid w:val="007735F4"/>
    <w:rsid w:val="007772FF"/>
    <w:rsid w:val="00780C96"/>
    <w:rsid w:val="007854FC"/>
    <w:rsid w:val="00790729"/>
    <w:rsid w:val="0079446A"/>
    <w:rsid w:val="00795AF1"/>
    <w:rsid w:val="007975AF"/>
    <w:rsid w:val="00797F6C"/>
    <w:rsid w:val="007A1717"/>
    <w:rsid w:val="007A17A1"/>
    <w:rsid w:val="007A1CE5"/>
    <w:rsid w:val="007B18D9"/>
    <w:rsid w:val="007B3EBF"/>
    <w:rsid w:val="007B655D"/>
    <w:rsid w:val="007C748B"/>
    <w:rsid w:val="007D246E"/>
    <w:rsid w:val="007D2483"/>
    <w:rsid w:val="007E4020"/>
    <w:rsid w:val="007E505C"/>
    <w:rsid w:val="007E73DC"/>
    <w:rsid w:val="007F3201"/>
    <w:rsid w:val="007F36F5"/>
    <w:rsid w:val="007F58FF"/>
    <w:rsid w:val="007F6DEF"/>
    <w:rsid w:val="00805886"/>
    <w:rsid w:val="0080793B"/>
    <w:rsid w:val="00820C7D"/>
    <w:rsid w:val="00824F62"/>
    <w:rsid w:val="00830D24"/>
    <w:rsid w:val="00830F85"/>
    <w:rsid w:val="00832777"/>
    <w:rsid w:val="00836D9F"/>
    <w:rsid w:val="0084110D"/>
    <w:rsid w:val="008459DE"/>
    <w:rsid w:val="00850AFE"/>
    <w:rsid w:val="008560FF"/>
    <w:rsid w:val="00857CE5"/>
    <w:rsid w:val="008606E1"/>
    <w:rsid w:val="00873AA2"/>
    <w:rsid w:val="00873F08"/>
    <w:rsid w:val="008759C8"/>
    <w:rsid w:val="00876571"/>
    <w:rsid w:val="00892860"/>
    <w:rsid w:val="008A3BC8"/>
    <w:rsid w:val="008A61A8"/>
    <w:rsid w:val="008A6547"/>
    <w:rsid w:val="008A7051"/>
    <w:rsid w:val="008B20DA"/>
    <w:rsid w:val="008B630D"/>
    <w:rsid w:val="008C0124"/>
    <w:rsid w:val="008C58FC"/>
    <w:rsid w:val="008C6EAD"/>
    <w:rsid w:val="008D5120"/>
    <w:rsid w:val="008D550D"/>
    <w:rsid w:val="008D734E"/>
    <w:rsid w:val="008E1C32"/>
    <w:rsid w:val="008E26B7"/>
    <w:rsid w:val="008E2EEC"/>
    <w:rsid w:val="008E4C4C"/>
    <w:rsid w:val="008E521B"/>
    <w:rsid w:val="008E5517"/>
    <w:rsid w:val="008E741A"/>
    <w:rsid w:val="008E7911"/>
    <w:rsid w:val="008E7C0E"/>
    <w:rsid w:val="008F4818"/>
    <w:rsid w:val="008F777E"/>
    <w:rsid w:val="008F7FF8"/>
    <w:rsid w:val="00900FA2"/>
    <w:rsid w:val="00902D1D"/>
    <w:rsid w:val="009035E5"/>
    <w:rsid w:val="00912805"/>
    <w:rsid w:val="00916031"/>
    <w:rsid w:val="009208E6"/>
    <w:rsid w:val="00923FD8"/>
    <w:rsid w:val="00930F0E"/>
    <w:rsid w:val="00933D10"/>
    <w:rsid w:val="00935847"/>
    <w:rsid w:val="0093596B"/>
    <w:rsid w:val="00941A80"/>
    <w:rsid w:val="009430F6"/>
    <w:rsid w:val="00944740"/>
    <w:rsid w:val="009455E6"/>
    <w:rsid w:val="009605C9"/>
    <w:rsid w:val="00961439"/>
    <w:rsid w:val="009626E5"/>
    <w:rsid w:val="00962E33"/>
    <w:rsid w:val="0096386E"/>
    <w:rsid w:val="00964CAE"/>
    <w:rsid w:val="00966872"/>
    <w:rsid w:val="009675F0"/>
    <w:rsid w:val="00972522"/>
    <w:rsid w:val="00974EC5"/>
    <w:rsid w:val="00976CB7"/>
    <w:rsid w:val="00987678"/>
    <w:rsid w:val="00995EAD"/>
    <w:rsid w:val="009A5EC6"/>
    <w:rsid w:val="009C2250"/>
    <w:rsid w:val="009C7B9C"/>
    <w:rsid w:val="009D0A2D"/>
    <w:rsid w:val="009D0C5F"/>
    <w:rsid w:val="009D0C96"/>
    <w:rsid w:val="009D1ECD"/>
    <w:rsid w:val="009D5B75"/>
    <w:rsid w:val="009D5F06"/>
    <w:rsid w:val="009D7684"/>
    <w:rsid w:val="009E09E3"/>
    <w:rsid w:val="009E36E5"/>
    <w:rsid w:val="009E4AC8"/>
    <w:rsid w:val="009E4CA7"/>
    <w:rsid w:val="009E69E3"/>
    <w:rsid w:val="009F2F53"/>
    <w:rsid w:val="009F3619"/>
    <w:rsid w:val="009F38A3"/>
    <w:rsid w:val="009F5C82"/>
    <w:rsid w:val="009F7B32"/>
    <w:rsid w:val="00A1655C"/>
    <w:rsid w:val="00A16BA0"/>
    <w:rsid w:val="00A17060"/>
    <w:rsid w:val="00A17277"/>
    <w:rsid w:val="00A208E2"/>
    <w:rsid w:val="00A24989"/>
    <w:rsid w:val="00A34CB3"/>
    <w:rsid w:val="00A4593A"/>
    <w:rsid w:val="00A46118"/>
    <w:rsid w:val="00A46335"/>
    <w:rsid w:val="00A50E60"/>
    <w:rsid w:val="00A5222B"/>
    <w:rsid w:val="00A554FE"/>
    <w:rsid w:val="00A616DE"/>
    <w:rsid w:val="00A62067"/>
    <w:rsid w:val="00A6252D"/>
    <w:rsid w:val="00A63E04"/>
    <w:rsid w:val="00A66B9D"/>
    <w:rsid w:val="00A67F19"/>
    <w:rsid w:val="00A70D93"/>
    <w:rsid w:val="00A71329"/>
    <w:rsid w:val="00A77C20"/>
    <w:rsid w:val="00A81187"/>
    <w:rsid w:val="00A90705"/>
    <w:rsid w:val="00A94995"/>
    <w:rsid w:val="00A96E22"/>
    <w:rsid w:val="00AA614D"/>
    <w:rsid w:val="00AA698B"/>
    <w:rsid w:val="00AB4DF1"/>
    <w:rsid w:val="00AB57F4"/>
    <w:rsid w:val="00AC1882"/>
    <w:rsid w:val="00AC2827"/>
    <w:rsid w:val="00AD0546"/>
    <w:rsid w:val="00AD1265"/>
    <w:rsid w:val="00AD71AB"/>
    <w:rsid w:val="00AE0C6A"/>
    <w:rsid w:val="00AE325A"/>
    <w:rsid w:val="00AE7B08"/>
    <w:rsid w:val="00AF4750"/>
    <w:rsid w:val="00AF5C6E"/>
    <w:rsid w:val="00B050F8"/>
    <w:rsid w:val="00B06840"/>
    <w:rsid w:val="00B1273B"/>
    <w:rsid w:val="00B163BE"/>
    <w:rsid w:val="00B21EEA"/>
    <w:rsid w:val="00B223EF"/>
    <w:rsid w:val="00B2383E"/>
    <w:rsid w:val="00B2548C"/>
    <w:rsid w:val="00B30F7F"/>
    <w:rsid w:val="00B35630"/>
    <w:rsid w:val="00B42095"/>
    <w:rsid w:val="00B4247F"/>
    <w:rsid w:val="00B565A0"/>
    <w:rsid w:val="00B56770"/>
    <w:rsid w:val="00B56DB5"/>
    <w:rsid w:val="00B63750"/>
    <w:rsid w:val="00B71816"/>
    <w:rsid w:val="00B718B3"/>
    <w:rsid w:val="00B76AA2"/>
    <w:rsid w:val="00B8096B"/>
    <w:rsid w:val="00B82A1A"/>
    <w:rsid w:val="00B91DCF"/>
    <w:rsid w:val="00BA2EA6"/>
    <w:rsid w:val="00BA33DA"/>
    <w:rsid w:val="00BA39B7"/>
    <w:rsid w:val="00BC1EB5"/>
    <w:rsid w:val="00BD0FDF"/>
    <w:rsid w:val="00BD1D19"/>
    <w:rsid w:val="00BD1F5B"/>
    <w:rsid w:val="00BD21C6"/>
    <w:rsid w:val="00BD4CD7"/>
    <w:rsid w:val="00BE1C20"/>
    <w:rsid w:val="00BE2CBA"/>
    <w:rsid w:val="00BE5E02"/>
    <w:rsid w:val="00BE79F2"/>
    <w:rsid w:val="00BF0DBE"/>
    <w:rsid w:val="00BF2E47"/>
    <w:rsid w:val="00BF706B"/>
    <w:rsid w:val="00BF7C3D"/>
    <w:rsid w:val="00C03F66"/>
    <w:rsid w:val="00C05896"/>
    <w:rsid w:val="00C12AB8"/>
    <w:rsid w:val="00C15302"/>
    <w:rsid w:val="00C23A5A"/>
    <w:rsid w:val="00C25DBB"/>
    <w:rsid w:val="00C265B9"/>
    <w:rsid w:val="00C3270E"/>
    <w:rsid w:val="00C327EE"/>
    <w:rsid w:val="00C353DB"/>
    <w:rsid w:val="00C37F7A"/>
    <w:rsid w:val="00C445B3"/>
    <w:rsid w:val="00C469F6"/>
    <w:rsid w:val="00C50F10"/>
    <w:rsid w:val="00C54B8A"/>
    <w:rsid w:val="00C54BBD"/>
    <w:rsid w:val="00C55386"/>
    <w:rsid w:val="00C70B34"/>
    <w:rsid w:val="00C710EE"/>
    <w:rsid w:val="00C80A1A"/>
    <w:rsid w:val="00C81719"/>
    <w:rsid w:val="00C86141"/>
    <w:rsid w:val="00C927B0"/>
    <w:rsid w:val="00C92C46"/>
    <w:rsid w:val="00C93A32"/>
    <w:rsid w:val="00C97C25"/>
    <w:rsid w:val="00CA0478"/>
    <w:rsid w:val="00CA2806"/>
    <w:rsid w:val="00CA3B65"/>
    <w:rsid w:val="00CB0349"/>
    <w:rsid w:val="00CB3275"/>
    <w:rsid w:val="00CC04BD"/>
    <w:rsid w:val="00CC205B"/>
    <w:rsid w:val="00CC362F"/>
    <w:rsid w:val="00CC74D5"/>
    <w:rsid w:val="00CC7F56"/>
    <w:rsid w:val="00CD0D02"/>
    <w:rsid w:val="00CD21AF"/>
    <w:rsid w:val="00CE0B92"/>
    <w:rsid w:val="00CE1E95"/>
    <w:rsid w:val="00CE274A"/>
    <w:rsid w:val="00CE3AD8"/>
    <w:rsid w:val="00CF174D"/>
    <w:rsid w:val="00D0414D"/>
    <w:rsid w:val="00D052E6"/>
    <w:rsid w:val="00D06779"/>
    <w:rsid w:val="00D10DB4"/>
    <w:rsid w:val="00D11F48"/>
    <w:rsid w:val="00D207BF"/>
    <w:rsid w:val="00D2260B"/>
    <w:rsid w:val="00D25285"/>
    <w:rsid w:val="00D273A9"/>
    <w:rsid w:val="00D34AD3"/>
    <w:rsid w:val="00D402BD"/>
    <w:rsid w:val="00D43B07"/>
    <w:rsid w:val="00D4507C"/>
    <w:rsid w:val="00D472F6"/>
    <w:rsid w:val="00D500A7"/>
    <w:rsid w:val="00D50AF9"/>
    <w:rsid w:val="00D51D90"/>
    <w:rsid w:val="00D5343A"/>
    <w:rsid w:val="00D64305"/>
    <w:rsid w:val="00D67FCC"/>
    <w:rsid w:val="00D70555"/>
    <w:rsid w:val="00D70A3E"/>
    <w:rsid w:val="00D71B40"/>
    <w:rsid w:val="00D724DD"/>
    <w:rsid w:val="00D727A5"/>
    <w:rsid w:val="00D7672B"/>
    <w:rsid w:val="00DA58C2"/>
    <w:rsid w:val="00DA5D58"/>
    <w:rsid w:val="00DA6F9A"/>
    <w:rsid w:val="00DB1B02"/>
    <w:rsid w:val="00DB6026"/>
    <w:rsid w:val="00DB7B02"/>
    <w:rsid w:val="00DC046C"/>
    <w:rsid w:val="00DC46F3"/>
    <w:rsid w:val="00DC7026"/>
    <w:rsid w:val="00DC7D57"/>
    <w:rsid w:val="00DC7F37"/>
    <w:rsid w:val="00DD7FA2"/>
    <w:rsid w:val="00DE113C"/>
    <w:rsid w:val="00DE43D0"/>
    <w:rsid w:val="00DE4EB2"/>
    <w:rsid w:val="00DE5BD2"/>
    <w:rsid w:val="00DF01CB"/>
    <w:rsid w:val="00DF51B9"/>
    <w:rsid w:val="00DF7090"/>
    <w:rsid w:val="00DF7812"/>
    <w:rsid w:val="00E208AE"/>
    <w:rsid w:val="00E22B5A"/>
    <w:rsid w:val="00E23C4D"/>
    <w:rsid w:val="00E307DD"/>
    <w:rsid w:val="00E31C89"/>
    <w:rsid w:val="00E341E0"/>
    <w:rsid w:val="00E42FBE"/>
    <w:rsid w:val="00E44985"/>
    <w:rsid w:val="00E47595"/>
    <w:rsid w:val="00E56DF7"/>
    <w:rsid w:val="00E57DBB"/>
    <w:rsid w:val="00E65E76"/>
    <w:rsid w:val="00E67A61"/>
    <w:rsid w:val="00E7331A"/>
    <w:rsid w:val="00E764D2"/>
    <w:rsid w:val="00E827B7"/>
    <w:rsid w:val="00E86978"/>
    <w:rsid w:val="00E93139"/>
    <w:rsid w:val="00E97734"/>
    <w:rsid w:val="00EA0177"/>
    <w:rsid w:val="00EA41DF"/>
    <w:rsid w:val="00EC2701"/>
    <w:rsid w:val="00EC701C"/>
    <w:rsid w:val="00ED493E"/>
    <w:rsid w:val="00EE144C"/>
    <w:rsid w:val="00EE2813"/>
    <w:rsid w:val="00EE2E87"/>
    <w:rsid w:val="00EE53E6"/>
    <w:rsid w:val="00EF09D6"/>
    <w:rsid w:val="00EF1A72"/>
    <w:rsid w:val="00EF20EA"/>
    <w:rsid w:val="00EF3272"/>
    <w:rsid w:val="00EF5CA3"/>
    <w:rsid w:val="00EF7AB4"/>
    <w:rsid w:val="00EF7C84"/>
    <w:rsid w:val="00F01152"/>
    <w:rsid w:val="00F017E1"/>
    <w:rsid w:val="00F1215F"/>
    <w:rsid w:val="00F14A5B"/>
    <w:rsid w:val="00F153C9"/>
    <w:rsid w:val="00F17C4E"/>
    <w:rsid w:val="00F210AF"/>
    <w:rsid w:val="00F21E75"/>
    <w:rsid w:val="00F22B26"/>
    <w:rsid w:val="00F23D2E"/>
    <w:rsid w:val="00F23F3F"/>
    <w:rsid w:val="00F32E87"/>
    <w:rsid w:val="00F42963"/>
    <w:rsid w:val="00F47B70"/>
    <w:rsid w:val="00F5161D"/>
    <w:rsid w:val="00F60590"/>
    <w:rsid w:val="00F60C6C"/>
    <w:rsid w:val="00F63300"/>
    <w:rsid w:val="00F77649"/>
    <w:rsid w:val="00F8778B"/>
    <w:rsid w:val="00F93DEB"/>
    <w:rsid w:val="00FA1389"/>
    <w:rsid w:val="00FA1E6E"/>
    <w:rsid w:val="00FA5211"/>
    <w:rsid w:val="00FA72CE"/>
    <w:rsid w:val="00FB1278"/>
    <w:rsid w:val="00FB37E1"/>
    <w:rsid w:val="00FB7EE6"/>
    <w:rsid w:val="00FC0529"/>
    <w:rsid w:val="00FC2253"/>
    <w:rsid w:val="00FC453A"/>
    <w:rsid w:val="00FC5857"/>
    <w:rsid w:val="00FC63FB"/>
    <w:rsid w:val="00FC66E6"/>
    <w:rsid w:val="00FD3556"/>
    <w:rsid w:val="00FE02AA"/>
    <w:rsid w:val="00FE2D77"/>
    <w:rsid w:val="00FE680C"/>
    <w:rsid w:val="00FF054B"/>
    <w:rsid w:val="00FF3EFF"/>
    <w:rsid w:val="00FF3F47"/>
    <w:rsid w:val="00FF46CD"/>
    <w:rsid w:val="00FF53FC"/>
    <w:rsid w:val="00FF55B5"/>
    <w:rsid w:val="00FF6C23"/>
    <w:rsid w:val="02B96468"/>
    <w:rsid w:val="02C24BF1"/>
    <w:rsid w:val="035937A7"/>
    <w:rsid w:val="03655CA8"/>
    <w:rsid w:val="06DD649D"/>
    <w:rsid w:val="072F4F4B"/>
    <w:rsid w:val="07DE2D8B"/>
    <w:rsid w:val="08745B19"/>
    <w:rsid w:val="0A821835"/>
    <w:rsid w:val="0B30303F"/>
    <w:rsid w:val="0BCE7613"/>
    <w:rsid w:val="0BF17A23"/>
    <w:rsid w:val="0C6A2581"/>
    <w:rsid w:val="0F056591"/>
    <w:rsid w:val="0F11732C"/>
    <w:rsid w:val="0F7D11B3"/>
    <w:rsid w:val="10353802"/>
    <w:rsid w:val="121E0D58"/>
    <w:rsid w:val="12CD345A"/>
    <w:rsid w:val="1349016D"/>
    <w:rsid w:val="16AA150F"/>
    <w:rsid w:val="18483F6C"/>
    <w:rsid w:val="18803322"/>
    <w:rsid w:val="189B3D4A"/>
    <w:rsid w:val="18A63D25"/>
    <w:rsid w:val="1C8C6544"/>
    <w:rsid w:val="1CE7377A"/>
    <w:rsid w:val="1D1A7211"/>
    <w:rsid w:val="1D216C8C"/>
    <w:rsid w:val="1D4B4E83"/>
    <w:rsid w:val="1D9D585A"/>
    <w:rsid w:val="1E647772"/>
    <w:rsid w:val="1EAC4C7B"/>
    <w:rsid w:val="1F2F35A6"/>
    <w:rsid w:val="1FCB63F3"/>
    <w:rsid w:val="212E4A3F"/>
    <w:rsid w:val="246C7E92"/>
    <w:rsid w:val="25433787"/>
    <w:rsid w:val="272C199F"/>
    <w:rsid w:val="277272C6"/>
    <w:rsid w:val="280F640A"/>
    <w:rsid w:val="28924EE2"/>
    <w:rsid w:val="29121B7F"/>
    <w:rsid w:val="291256ED"/>
    <w:rsid w:val="2B964CE9"/>
    <w:rsid w:val="2CBC0D57"/>
    <w:rsid w:val="2CD72C54"/>
    <w:rsid w:val="2CFC3A3E"/>
    <w:rsid w:val="2DE956D9"/>
    <w:rsid w:val="2E0C2101"/>
    <w:rsid w:val="2E8E43E7"/>
    <w:rsid w:val="2EA8720D"/>
    <w:rsid w:val="2ECF6B10"/>
    <w:rsid w:val="2EE76884"/>
    <w:rsid w:val="2F426BD9"/>
    <w:rsid w:val="30066945"/>
    <w:rsid w:val="304C24A0"/>
    <w:rsid w:val="30C45E54"/>
    <w:rsid w:val="31CD2942"/>
    <w:rsid w:val="32434EBC"/>
    <w:rsid w:val="32D225EA"/>
    <w:rsid w:val="338950BF"/>
    <w:rsid w:val="33E462EB"/>
    <w:rsid w:val="341D1E98"/>
    <w:rsid w:val="344C063B"/>
    <w:rsid w:val="35246EC1"/>
    <w:rsid w:val="37B22EAA"/>
    <w:rsid w:val="382D42DF"/>
    <w:rsid w:val="38A04AB1"/>
    <w:rsid w:val="38B467AE"/>
    <w:rsid w:val="39645624"/>
    <w:rsid w:val="39ED6B3B"/>
    <w:rsid w:val="3A053765"/>
    <w:rsid w:val="3A5F3D58"/>
    <w:rsid w:val="3B3913E9"/>
    <w:rsid w:val="3C0267B9"/>
    <w:rsid w:val="3EFC4A0B"/>
    <w:rsid w:val="40D52048"/>
    <w:rsid w:val="40F36398"/>
    <w:rsid w:val="410B2C87"/>
    <w:rsid w:val="41CF62FB"/>
    <w:rsid w:val="423170C2"/>
    <w:rsid w:val="42913E89"/>
    <w:rsid w:val="44AF4BBA"/>
    <w:rsid w:val="46D1677D"/>
    <w:rsid w:val="47861161"/>
    <w:rsid w:val="47F4705A"/>
    <w:rsid w:val="48C4659A"/>
    <w:rsid w:val="4A9E2447"/>
    <w:rsid w:val="4C06511B"/>
    <w:rsid w:val="4C697BB1"/>
    <w:rsid w:val="4DD52FF7"/>
    <w:rsid w:val="4E3F716D"/>
    <w:rsid w:val="4EE41BC3"/>
    <w:rsid w:val="4EEE63C5"/>
    <w:rsid w:val="4FBB09D8"/>
    <w:rsid w:val="4FC652ED"/>
    <w:rsid w:val="50306FB5"/>
    <w:rsid w:val="511300BE"/>
    <w:rsid w:val="515F7B5F"/>
    <w:rsid w:val="530438BA"/>
    <w:rsid w:val="53F215D4"/>
    <w:rsid w:val="541505F1"/>
    <w:rsid w:val="5479624C"/>
    <w:rsid w:val="573D7CA0"/>
    <w:rsid w:val="58DE1302"/>
    <w:rsid w:val="593C217C"/>
    <w:rsid w:val="59A239CF"/>
    <w:rsid w:val="5A6C4CE3"/>
    <w:rsid w:val="5A96449D"/>
    <w:rsid w:val="5B353327"/>
    <w:rsid w:val="5B645BA3"/>
    <w:rsid w:val="5BB16E51"/>
    <w:rsid w:val="5C915E6B"/>
    <w:rsid w:val="5CB35A78"/>
    <w:rsid w:val="5D467A6D"/>
    <w:rsid w:val="5F5244A8"/>
    <w:rsid w:val="60D34FA6"/>
    <w:rsid w:val="640C0196"/>
    <w:rsid w:val="65C6799D"/>
    <w:rsid w:val="66C1740B"/>
    <w:rsid w:val="678837E7"/>
    <w:rsid w:val="6844104D"/>
    <w:rsid w:val="69737046"/>
    <w:rsid w:val="6A3749C6"/>
    <w:rsid w:val="6C907DD7"/>
    <w:rsid w:val="6CCF1E61"/>
    <w:rsid w:val="6CF41262"/>
    <w:rsid w:val="6D314A5D"/>
    <w:rsid w:val="70F21E96"/>
    <w:rsid w:val="76022B63"/>
    <w:rsid w:val="79A050F6"/>
    <w:rsid w:val="7A2C0161"/>
    <w:rsid w:val="7C0C5586"/>
    <w:rsid w:val="7C6D24C9"/>
    <w:rsid w:val="7CDE6F23"/>
    <w:rsid w:val="7FC55D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uiPriority="99" w:name="heading 2"/>
    <w:lsdException w:uiPriority="99"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name="Normal Indent"/>
    <w:lsdException w:uiPriority="99" w:name="footnote text"/>
    <w:lsdException w:qFormat="1" w:uiPriority="99" w:name="annotation text"/>
    <w:lsdException w:qFormat="1" w:unhideWhenUsed="0" w:uiPriority="0" w:semiHidden="0" w:name="header"/>
    <w:lsdException w:qFormat="1" w:uiPriority="99" w:semiHidden="0"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nhideWhenUsed="0" w:uiPriority="99"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99"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unhideWhenUsed="0" w:uiPriority="99"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center"/>
    </w:pPr>
    <w:rPr>
      <w:rFonts w:ascii="宋体" w:hAnsi="宋体" w:eastAsia="宋体" w:cs="Times New Roman"/>
      <w:b/>
      <w:bCs/>
      <w:color w:val="000000"/>
      <w:sz w:val="22"/>
      <w:szCs w:val="22"/>
      <w:lang w:val="en-US" w:eastAsia="zh-CN" w:bidi="ar-SA"/>
    </w:rPr>
  </w:style>
  <w:style w:type="paragraph" w:styleId="2">
    <w:name w:val="heading 1"/>
    <w:basedOn w:val="1"/>
    <w:next w:val="1"/>
    <w:link w:val="25"/>
    <w:qFormat/>
    <w:uiPriority w:val="9"/>
    <w:pPr>
      <w:keepNext/>
      <w:keepLines/>
      <w:spacing w:before="340" w:after="330" w:line="578" w:lineRule="auto"/>
      <w:outlineLvl w:val="0"/>
    </w:pPr>
    <w:rPr>
      <w:b w:val="0"/>
      <w:bCs w:val="0"/>
      <w:kern w:val="44"/>
      <w:sz w:val="44"/>
      <w:szCs w:val="4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3"/>
    <w:semiHidden/>
    <w:unhideWhenUsed/>
    <w:qFormat/>
    <w:uiPriority w:val="99"/>
    <w:pPr>
      <w:jc w:val="left"/>
    </w:pPr>
  </w:style>
  <w:style w:type="paragraph" w:styleId="4">
    <w:name w:val="Body Text"/>
    <w:basedOn w:val="1"/>
    <w:unhideWhenUsed/>
    <w:qFormat/>
    <w:uiPriority w:val="99"/>
    <w:pPr>
      <w:spacing w:after="120"/>
    </w:pPr>
  </w:style>
  <w:style w:type="paragraph" w:styleId="5">
    <w:name w:val="Balloon Text"/>
    <w:basedOn w:val="1"/>
    <w:link w:val="22"/>
    <w:semiHidden/>
    <w:unhideWhenUsed/>
    <w:qFormat/>
    <w:uiPriority w:val="99"/>
    <w:rPr>
      <w:rFonts w:ascii="Times New Roman" w:hAnsi="Times New Roman" w:eastAsia="仿宋_GB2312"/>
      <w:spacing w:val="10"/>
      <w:sz w:val="18"/>
      <w:szCs w:val="18"/>
    </w:rPr>
  </w:style>
  <w:style w:type="paragraph" w:styleId="6">
    <w:name w:val="footer"/>
    <w:basedOn w:val="1"/>
    <w:link w:val="19"/>
    <w:unhideWhenUsed/>
    <w:qFormat/>
    <w:uiPriority w:val="99"/>
    <w:pPr>
      <w:tabs>
        <w:tab w:val="center" w:pos="4153"/>
        <w:tab w:val="right" w:pos="8306"/>
      </w:tabs>
      <w:snapToGrid w:val="0"/>
      <w:jc w:val="left"/>
    </w:pPr>
    <w:rPr>
      <w:sz w:val="18"/>
      <w:szCs w:val="18"/>
    </w:rPr>
  </w:style>
  <w:style w:type="paragraph" w:styleId="7">
    <w:name w:val="header"/>
    <w:basedOn w:val="1"/>
    <w:link w:val="18"/>
    <w:qFormat/>
    <w:uiPriority w:val="0"/>
    <w:pPr>
      <w:pBdr>
        <w:bottom w:val="single" w:color="auto" w:sz="6" w:space="1"/>
      </w:pBdr>
      <w:tabs>
        <w:tab w:val="center" w:pos="4153"/>
        <w:tab w:val="right" w:pos="8306"/>
      </w:tabs>
      <w:snapToGrid w:val="0"/>
    </w:pPr>
    <w:rPr>
      <w:rFonts w:ascii="Times New Roman" w:hAnsi="Times New Roman"/>
      <w:sz w:val="18"/>
      <w:szCs w:val="18"/>
    </w:rPr>
  </w:style>
  <w:style w:type="paragraph" w:styleId="8">
    <w:name w:val="Normal (Web)"/>
    <w:basedOn w:val="1"/>
    <w:unhideWhenUsed/>
    <w:qFormat/>
    <w:uiPriority w:val="99"/>
    <w:pPr>
      <w:spacing w:before="100" w:beforeAutospacing="1" w:after="100" w:afterAutospacing="1"/>
      <w:jc w:val="left"/>
    </w:pPr>
    <w:rPr>
      <w:rFonts w:cs="宋体"/>
      <w:sz w:val="24"/>
      <w:szCs w:val="24"/>
    </w:rPr>
  </w:style>
  <w:style w:type="paragraph" w:styleId="9">
    <w:name w:val="annotation subject"/>
    <w:basedOn w:val="3"/>
    <w:link w:val="24"/>
    <w:semiHidden/>
    <w:unhideWhenUsed/>
    <w:qFormat/>
    <w:uiPriority w:val="99"/>
    <w:rPr>
      <w:b w:val="0"/>
      <w:bCs w:val="0"/>
    </w:rPr>
  </w:style>
  <w:style w:type="table" w:styleId="11">
    <w:name w:val="Table Grid"/>
    <w:basedOn w:val="1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Strong"/>
    <w:basedOn w:val="12"/>
    <w:qFormat/>
    <w:uiPriority w:val="22"/>
    <w:rPr>
      <w:b/>
      <w:bCs/>
    </w:rPr>
  </w:style>
  <w:style w:type="character" w:styleId="14">
    <w:name w:val="FollowedHyperlink"/>
    <w:basedOn w:val="12"/>
    <w:semiHidden/>
    <w:unhideWhenUsed/>
    <w:qFormat/>
    <w:uiPriority w:val="99"/>
    <w:rPr>
      <w:color w:val="800080"/>
      <w:sz w:val="20"/>
      <w:szCs w:val="20"/>
      <w:u w:val="single"/>
    </w:rPr>
  </w:style>
  <w:style w:type="character" w:styleId="15">
    <w:name w:val="Hyperlink"/>
    <w:basedOn w:val="12"/>
    <w:semiHidden/>
    <w:unhideWhenUsed/>
    <w:qFormat/>
    <w:uiPriority w:val="99"/>
    <w:rPr>
      <w:color w:val="0000FF"/>
      <w:sz w:val="20"/>
      <w:szCs w:val="20"/>
      <w:u w:val="single"/>
    </w:rPr>
  </w:style>
  <w:style w:type="character" w:styleId="16">
    <w:name w:val="annotation reference"/>
    <w:basedOn w:val="12"/>
    <w:semiHidden/>
    <w:unhideWhenUsed/>
    <w:qFormat/>
    <w:uiPriority w:val="99"/>
    <w:rPr>
      <w:sz w:val="21"/>
      <w:szCs w:val="21"/>
    </w:rPr>
  </w:style>
  <w:style w:type="paragraph" w:customStyle="1" w:styleId="17">
    <w:name w:val="tableheader"/>
    <w:basedOn w:val="1"/>
    <w:qFormat/>
    <w:uiPriority w:val="0"/>
    <w:pPr>
      <w:shd w:val="clear" w:color="auto" w:fill="ABCDEF"/>
      <w:spacing w:before="100" w:beforeAutospacing="1" w:after="100" w:afterAutospacing="1"/>
      <w:jc w:val="left"/>
    </w:pPr>
    <w:rPr>
      <w:rFonts w:cs="宋体"/>
      <w:sz w:val="24"/>
      <w:szCs w:val="24"/>
    </w:rPr>
  </w:style>
  <w:style w:type="character" w:customStyle="1" w:styleId="18">
    <w:name w:val="页眉 Char"/>
    <w:basedOn w:val="12"/>
    <w:link w:val="7"/>
    <w:qFormat/>
    <w:uiPriority w:val="0"/>
    <w:rPr>
      <w:rFonts w:ascii="Times New Roman" w:hAnsi="Times New Roman" w:eastAsia="宋体" w:cs="Times New Roman"/>
      <w:sz w:val="18"/>
      <w:szCs w:val="18"/>
    </w:rPr>
  </w:style>
  <w:style w:type="character" w:customStyle="1" w:styleId="19">
    <w:name w:val="页脚 Char"/>
    <w:basedOn w:val="12"/>
    <w:link w:val="6"/>
    <w:qFormat/>
    <w:uiPriority w:val="99"/>
    <w:rPr>
      <w:sz w:val="18"/>
      <w:szCs w:val="18"/>
    </w:rPr>
  </w:style>
  <w:style w:type="paragraph" w:customStyle="1" w:styleId="20">
    <w:name w:val="首行缩进"/>
    <w:basedOn w:val="1"/>
    <w:qFormat/>
    <w:uiPriority w:val="0"/>
    <w:pPr>
      <w:ind w:firstLine="480" w:firstLineChars="200"/>
    </w:pPr>
    <w:rPr>
      <w:rFonts w:ascii="Calibri" w:hAnsi="Calibri" w:eastAsia="仿宋"/>
      <w:sz w:val="28"/>
      <w:lang w:val="zh-CN"/>
    </w:rPr>
  </w:style>
  <w:style w:type="paragraph" w:styleId="21">
    <w:name w:val="List Paragraph"/>
    <w:basedOn w:val="1"/>
    <w:qFormat/>
    <w:uiPriority w:val="34"/>
    <w:pPr>
      <w:ind w:firstLine="420" w:firstLineChars="200"/>
    </w:pPr>
  </w:style>
  <w:style w:type="character" w:customStyle="1" w:styleId="22">
    <w:name w:val="批注框文本 Char"/>
    <w:basedOn w:val="12"/>
    <w:link w:val="5"/>
    <w:semiHidden/>
    <w:qFormat/>
    <w:uiPriority w:val="99"/>
    <w:rPr>
      <w:rFonts w:ascii="Times New Roman" w:hAnsi="Times New Roman" w:eastAsia="仿宋_GB2312" w:cs="Times New Roman"/>
      <w:spacing w:val="10"/>
      <w:sz w:val="18"/>
      <w:szCs w:val="18"/>
    </w:rPr>
  </w:style>
  <w:style w:type="character" w:customStyle="1" w:styleId="23">
    <w:name w:val="批注文字 Char"/>
    <w:basedOn w:val="12"/>
    <w:link w:val="3"/>
    <w:semiHidden/>
    <w:qFormat/>
    <w:uiPriority w:val="99"/>
  </w:style>
  <w:style w:type="character" w:customStyle="1" w:styleId="24">
    <w:name w:val="批注主题 Char"/>
    <w:basedOn w:val="23"/>
    <w:link w:val="9"/>
    <w:semiHidden/>
    <w:qFormat/>
    <w:uiPriority w:val="99"/>
    <w:rPr>
      <w:b/>
      <w:bCs/>
    </w:rPr>
  </w:style>
  <w:style w:type="character" w:customStyle="1" w:styleId="25">
    <w:name w:val="标题 1 Char"/>
    <w:basedOn w:val="12"/>
    <w:link w:val="2"/>
    <w:qFormat/>
    <w:uiPriority w:val="9"/>
    <w:rPr>
      <w:b/>
      <w:bCs/>
      <w:kern w:val="44"/>
      <w:sz w:val="44"/>
      <w:szCs w:val="44"/>
    </w:rPr>
  </w:style>
  <w:style w:type="paragraph" w:customStyle="1" w:styleId="26">
    <w:name w:val="封面标准名称"/>
    <w:qFormat/>
    <w:uiPriority w:val="0"/>
    <w:pPr>
      <w:framePr w:w="9639" w:h="6917" w:wrap="around" w:vAnchor="page" w:hAnchor="page" w:xAlign="center" w:y="6408" w:anchorLock="1"/>
      <w:widowControl w:val="0"/>
      <w:spacing w:line="680" w:lineRule="exact"/>
      <w:jc w:val="center"/>
    </w:pPr>
    <w:rPr>
      <w:rFonts w:ascii="黑体" w:hAnsi="Times New Roman" w:eastAsia="黑体" w:cs="Times New Roman"/>
      <w:sz w:val="52"/>
      <w:lang w:val="en-US" w:eastAsia="zh-CN" w:bidi="ar-SA"/>
    </w:rPr>
  </w:style>
  <w:style w:type="character" w:customStyle="1" w:styleId="27">
    <w:name w:val="font51"/>
    <w:basedOn w:val="12"/>
    <w:qFormat/>
    <w:uiPriority w:val="0"/>
    <w:rPr>
      <w:rFonts w:ascii="仿宋_GB2312" w:eastAsia="仿宋_GB2312" w:cs="仿宋_GB2312"/>
      <w:color w:val="000000"/>
      <w:sz w:val="28"/>
      <w:szCs w:val="28"/>
      <w:u w:val="none"/>
    </w:rPr>
  </w:style>
  <w:style w:type="character" w:customStyle="1" w:styleId="28">
    <w:name w:val="font21"/>
    <w:basedOn w:val="12"/>
    <w:qFormat/>
    <w:uiPriority w:val="0"/>
    <w:rPr>
      <w:rFonts w:hint="eastAsia" w:ascii="宋体" w:hAnsi="宋体" w:eastAsia="宋体" w:cs="宋体"/>
      <w:color w:val="000000"/>
      <w:sz w:val="28"/>
      <w:szCs w:val="28"/>
      <w:u w:val="none"/>
    </w:rPr>
  </w:style>
  <w:style w:type="character" w:customStyle="1" w:styleId="29">
    <w:name w:val="font31"/>
    <w:basedOn w:val="12"/>
    <w:qFormat/>
    <w:uiPriority w:val="0"/>
    <w:rPr>
      <w:rFonts w:hint="default" w:ascii="Times New Roman" w:hAnsi="Times New Roman" w:cs="Times New Roman"/>
      <w:color w:val="000000"/>
      <w:sz w:val="28"/>
      <w:szCs w:val="28"/>
      <w:u w:val="none"/>
    </w:rPr>
  </w:style>
  <w:style w:type="character" w:customStyle="1" w:styleId="30">
    <w:name w:val="font41"/>
    <w:basedOn w:val="12"/>
    <w:qFormat/>
    <w:uiPriority w:val="0"/>
    <w:rPr>
      <w:rFonts w:hint="eastAsia" w:ascii="仿宋_GB2312" w:eastAsia="仿宋_GB2312" w:cs="仿宋_GB2312"/>
      <w:color w:val="000000"/>
      <w:sz w:val="28"/>
      <w:szCs w:val="28"/>
      <w:u w:val="none"/>
    </w:rPr>
  </w:style>
  <w:style w:type="character" w:customStyle="1" w:styleId="31">
    <w:name w:val="font11"/>
    <w:basedOn w:val="12"/>
    <w:qFormat/>
    <w:uiPriority w:val="0"/>
    <w:rPr>
      <w:rFonts w:hint="eastAsia" w:ascii="仿宋_GB2312" w:eastAsia="仿宋_GB2312" w:cs="仿宋_GB2312"/>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satMod val="300000"/>
                <a:tint val="50000"/>
              </a:schemeClr>
            </a:gs>
            <a:gs pos="35000">
              <a:schemeClr val="phClr">
                <a:satMod val="300000"/>
                <a:tint val="37000"/>
              </a:schemeClr>
            </a:gs>
            <a:gs pos="100000">
              <a:schemeClr val="phClr">
                <a:satMod val="350000"/>
                <a:tint val="15000"/>
              </a:schemeClr>
            </a:gs>
          </a:gsLst>
          <a:lin ang="16200000" scaled="1"/>
        </a:gradFill>
        <a:gradFill rotWithShape="1">
          <a:gsLst>
            <a:gs pos="0">
              <a:schemeClr val="phClr">
                <a:satMod val="130000"/>
                <a:shade val="51000"/>
              </a:schemeClr>
            </a:gs>
            <a:gs pos="80000">
              <a:schemeClr val="phClr">
                <a:satMod val="130000"/>
                <a:shade val="93000"/>
              </a:schemeClr>
            </a:gs>
            <a:gs pos="100000">
              <a:schemeClr val="phClr">
                <a:satMod val="135000"/>
                <a:shade val="94000"/>
              </a:schemeClr>
            </a:gs>
          </a:gsLst>
          <a:lin ang="16200000" scaled="0"/>
        </a:gradFill>
      </a:fillStyleLst>
      <a:lnStyleLst>
        <a:ln w="9525" cap="flat" cmpd="sng" algn="ctr">
          <a:solidFill>
            <a:schemeClr val="phClr">
              <a:satMod val="105000"/>
              <a:shade val="9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atMod val="350000"/>
                <a:tint val="40000"/>
              </a:schemeClr>
            </a:gs>
            <a:gs pos="40000">
              <a:schemeClr val="phClr">
                <a:satMod val="350000"/>
                <a:shade val="99000"/>
                <a:tint val="45000"/>
              </a:schemeClr>
            </a:gs>
            <a:gs pos="100000">
              <a:schemeClr val="phClr">
                <a:satMod val="255000"/>
                <a:shade val="20000"/>
              </a:schemeClr>
            </a:gs>
          </a:gsLst>
          <a:path path="circle">
            <a:fillToRect l="50000" t="-80000" r="50000" b="180000"/>
          </a:path>
        </a:gradFill>
        <a:gradFill rotWithShape="1">
          <a:gsLst>
            <a:gs pos="0">
              <a:schemeClr val="phClr">
                <a:satMod val="300000"/>
                <a:tint val="80000"/>
              </a:schemeClr>
            </a:gs>
            <a:gs pos="100000">
              <a:schemeClr val="phClr">
                <a:satMod val="200000"/>
                <a:shade val="3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DELL</Company>
  <Pages>7</Pages>
  <Words>4518</Words>
  <Characters>4570</Characters>
  <Lines>397</Lines>
  <Paragraphs>306</Paragraphs>
  <TotalTime>3</TotalTime>
  <ScaleCrop>false</ScaleCrop>
  <LinksUpToDate>false</LinksUpToDate>
  <CharactersWithSpaces>4771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2025-04-14T03:30:00Z</dcterms:created>
  <dc:creator>张婷婷</dc:creator>
  <cp:lastModifiedBy>SMN</cp:lastModifiedBy>
  <dcterms:modified xsi:type="dcterms:W3CDTF">2026-10-20T01:10:30Z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B0EDFBFCFB354F1288F1FD127DD60B59_13</vt:lpwstr>
  </property>
  <property fmtid="{D5CDD505-2E9C-101B-9397-08002B2CF9AE}" pid="4" name="KSOTemplateDocerSaveRecord">
    <vt:lpwstr>eyJoZGlkIjoiNWI5MzFlZGQ1MWM5ZjJlZGU1ZDlkNWI3M2NjN2I4NDUiLCJ1c2VySWQiOiIzNDQ0ODA3MjQifQ==</vt:lpwstr>
  </property>
</Properties>
</file>