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FABC2">
      <w:pPr>
        <w:jc w:val="center"/>
        <w:rPr>
          <w:rFonts w:ascii="仿宋_GB2312" w:hAnsi="宋体" w:eastAsia="仿宋_GB2312"/>
          <w:b/>
          <w:sz w:val="32"/>
          <w:szCs w:val="32"/>
        </w:rPr>
      </w:pPr>
      <w:bookmarkStart w:id="0" w:name="OLE_LINK11"/>
      <w:bookmarkStart w:id="1" w:name="OLE_LINK12"/>
      <w:r>
        <w:rPr>
          <w:rFonts w:hint="eastAsia" w:ascii="仿宋_GB2312" w:hAnsi="宋体" w:eastAsia="仿宋_GB2312"/>
          <w:b/>
          <w:sz w:val="32"/>
          <w:szCs w:val="32"/>
        </w:rPr>
        <w:t>南方医科大学深圳口腔医院（坪山）</w:t>
      </w:r>
    </w:p>
    <w:p w14:paraId="0F2D39D9">
      <w:pPr>
        <w:jc w:val="center"/>
        <w:rPr>
          <w:rFonts w:ascii="仿宋_GB2312" w:hAnsi="宋体" w:eastAsia="仿宋_GB2312"/>
          <w:b/>
          <w:sz w:val="32"/>
          <w:szCs w:val="32"/>
        </w:rPr>
      </w:pPr>
      <w:r>
        <w:rPr>
          <w:rFonts w:hint="eastAsia" w:ascii="仿宋_GB2312" w:hAnsi="宋体" w:eastAsia="仿宋_GB2312"/>
          <w:b/>
          <w:sz w:val="32"/>
          <w:szCs w:val="32"/>
        </w:rPr>
        <w:t>年度网络安全服务项目</w:t>
      </w:r>
      <w:bookmarkEnd w:id="0"/>
      <w:bookmarkEnd w:id="1"/>
      <w:r>
        <w:rPr>
          <w:rFonts w:hint="eastAsia" w:ascii="仿宋_GB2312" w:hAnsi="宋体" w:eastAsia="仿宋_GB2312"/>
          <w:b/>
          <w:sz w:val="32"/>
          <w:szCs w:val="32"/>
        </w:rPr>
        <w:t>市场调研需求</w:t>
      </w:r>
    </w:p>
    <w:p w14:paraId="551103C9">
      <w:pPr>
        <w:jc w:val="center"/>
        <w:rPr>
          <w:rFonts w:ascii="仿宋_GB2312" w:hAnsi="宋体" w:eastAsia="仿宋_GB2312"/>
          <w:b/>
          <w:sz w:val="32"/>
          <w:szCs w:val="32"/>
        </w:rPr>
      </w:pPr>
      <w:r>
        <w:rPr>
          <w:rFonts w:hint="eastAsia" w:ascii="仿宋_GB2312" w:hAnsi="宋体" w:eastAsia="仿宋_GB2312"/>
          <w:b/>
          <w:sz w:val="32"/>
          <w:szCs w:val="32"/>
        </w:rPr>
        <w:t>（项目编号：</w:t>
      </w:r>
      <w:bookmarkStart w:id="2" w:name="OLE_LINK14"/>
      <w:bookmarkStart w:id="3" w:name="OLE_LINK13"/>
      <w:r>
        <w:rPr>
          <w:rFonts w:ascii="仿宋_GB2312" w:hAnsi="宋体" w:eastAsia="仿宋_GB2312"/>
          <w:b/>
          <w:sz w:val="32"/>
          <w:szCs w:val="32"/>
        </w:rPr>
        <w:t>NFYKDSZKQ-XXH-WLAQFW-202609300013</w:t>
      </w:r>
      <w:bookmarkEnd w:id="2"/>
      <w:bookmarkEnd w:id="3"/>
      <w:r>
        <w:rPr>
          <w:rFonts w:hint="eastAsia" w:ascii="仿宋_GB2312" w:hAnsi="宋体" w:eastAsia="仿宋_GB2312"/>
          <w:b/>
          <w:sz w:val="32"/>
          <w:szCs w:val="32"/>
        </w:rPr>
        <w:t>）</w:t>
      </w:r>
    </w:p>
    <w:tbl>
      <w:tblPr>
        <w:tblStyle w:val="12"/>
        <w:tblW w:w="9238" w:type="dxa"/>
        <w:jc w:val="center"/>
        <w:tblCellSpacing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15" w:type="dxa"/>
          <w:left w:w="15" w:type="dxa"/>
          <w:bottom w:w="15" w:type="dxa"/>
          <w:right w:w="15" w:type="dxa"/>
        </w:tblCellMar>
      </w:tblPr>
      <w:tblGrid>
        <w:gridCol w:w="868"/>
        <w:gridCol w:w="4826"/>
        <w:gridCol w:w="2178"/>
        <w:gridCol w:w="1366"/>
      </w:tblGrid>
      <w:tr w14:paraId="3ED613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440" w:hRule="atLeast"/>
          <w:tblCellSpacing w:w="0" w:type="dxa"/>
          <w:jc w:val="center"/>
        </w:trPr>
        <w:tc>
          <w:tcPr>
            <w:tcW w:w="868" w:type="dxa"/>
            <w:vAlign w:val="center"/>
          </w:tcPr>
          <w:p w14:paraId="08CB1A94">
            <w:pPr>
              <w:widowControl/>
              <w:spacing w:before="100" w:beforeAutospacing="1" w:after="100" w:afterAutospacing="1"/>
              <w:jc w:val="left"/>
              <w:rPr>
                <w:rFonts w:ascii="宋体" w:hAnsi="宋体" w:eastAsia="宋体" w:cs="宋体"/>
                <w:kern w:val="0"/>
                <w:sz w:val="20"/>
                <w:szCs w:val="20"/>
              </w:rPr>
            </w:pPr>
            <w:r>
              <w:rPr>
                <w:rFonts w:ascii="宋体" w:hAnsi="宋体" w:eastAsia="宋体" w:cs="宋体"/>
                <w:b/>
                <w:bCs/>
                <w:kern w:val="0"/>
                <w:sz w:val="20"/>
                <w:szCs w:val="20"/>
              </w:rPr>
              <w:t>项目名称</w:t>
            </w:r>
            <w:r>
              <w:rPr>
                <w:rFonts w:ascii="宋体" w:hAnsi="宋体" w:eastAsia="宋体" w:cs="宋体"/>
                <w:kern w:val="0"/>
                <w:sz w:val="20"/>
                <w:szCs w:val="20"/>
              </w:rPr>
              <w:t xml:space="preserve"> </w:t>
            </w:r>
          </w:p>
        </w:tc>
        <w:tc>
          <w:tcPr>
            <w:tcW w:w="4826" w:type="dxa"/>
            <w:vAlign w:val="center"/>
          </w:tcPr>
          <w:p w14:paraId="72C74A19">
            <w:pPr>
              <w:jc w:val="center"/>
              <w:rPr>
                <w:rFonts w:ascii="宋体" w:hAnsi="宋体" w:eastAsia="宋体" w:cs="宋体"/>
                <w:kern w:val="0"/>
                <w:sz w:val="20"/>
                <w:szCs w:val="20"/>
              </w:rPr>
            </w:pPr>
            <w:r>
              <w:rPr>
                <w:rFonts w:hint="eastAsia" w:ascii="宋体" w:hAnsi="宋体" w:eastAsia="宋体" w:cs="宋体"/>
                <w:kern w:val="0"/>
                <w:sz w:val="20"/>
                <w:szCs w:val="20"/>
              </w:rPr>
              <w:t>南方医科大学深圳口腔医院（坪山）网络安全服务项目</w:t>
            </w:r>
          </w:p>
        </w:tc>
        <w:tc>
          <w:tcPr>
            <w:tcW w:w="2178" w:type="dxa"/>
            <w:vAlign w:val="center"/>
          </w:tcPr>
          <w:p w14:paraId="627292F9">
            <w:pPr>
              <w:widowControl/>
              <w:spacing w:before="100" w:beforeAutospacing="1" w:after="100" w:afterAutospacing="1"/>
              <w:jc w:val="center"/>
              <w:rPr>
                <w:rFonts w:ascii="宋体" w:hAnsi="宋体" w:eastAsia="宋体" w:cs="宋体"/>
                <w:kern w:val="0"/>
                <w:sz w:val="20"/>
                <w:szCs w:val="20"/>
              </w:rPr>
            </w:pPr>
            <w:r>
              <w:rPr>
                <w:rFonts w:ascii="宋体" w:hAnsi="宋体" w:eastAsia="宋体" w:cs="宋体"/>
                <w:b/>
                <w:bCs/>
                <w:kern w:val="0"/>
                <w:sz w:val="20"/>
                <w:szCs w:val="20"/>
              </w:rPr>
              <w:t>是否预选项目</w:t>
            </w:r>
          </w:p>
        </w:tc>
        <w:tc>
          <w:tcPr>
            <w:tcW w:w="1366" w:type="dxa"/>
            <w:vAlign w:val="center"/>
          </w:tcPr>
          <w:p w14:paraId="607D37E4">
            <w:pPr>
              <w:widowControl/>
              <w:jc w:val="left"/>
              <w:rPr>
                <w:rFonts w:ascii="宋体" w:hAnsi="宋体" w:eastAsia="宋体" w:cs="宋体"/>
                <w:kern w:val="0"/>
                <w:sz w:val="20"/>
                <w:szCs w:val="20"/>
              </w:rPr>
            </w:pPr>
            <w:r>
              <w:rPr>
                <w:rFonts w:hint="eastAsia" w:ascii="宋体" w:hAnsi="宋体" w:eastAsia="宋体" w:cs="宋体"/>
                <w:kern w:val="0"/>
                <w:sz w:val="20"/>
                <w:szCs w:val="20"/>
              </w:rPr>
              <w:t>否</w:t>
            </w:r>
          </w:p>
        </w:tc>
      </w:tr>
      <w:tr w14:paraId="543EF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68" w:type="dxa"/>
            <w:vAlign w:val="center"/>
          </w:tcPr>
          <w:p w14:paraId="35A6934C">
            <w:pPr>
              <w:widowControl/>
              <w:spacing w:before="100" w:beforeAutospacing="1" w:after="100" w:afterAutospacing="1"/>
              <w:jc w:val="center"/>
              <w:rPr>
                <w:rFonts w:ascii="宋体" w:hAnsi="宋体" w:eastAsia="宋体" w:cs="宋体"/>
                <w:kern w:val="0"/>
                <w:sz w:val="20"/>
                <w:szCs w:val="20"/>
              </w:rPr>
            </w:pPr>
            <w:r>
              <w:rPr>
                <w:rFonts w:ascii="宋体" w:hAnsi="宋体" w:eastAsia="宋体" w:cs="宋体"/>
                <w:b/>
                <w:bCs/>
                <w:kern w:val="0"/>
                <w:sz w:val="20"/>
                <w:szCs w:val="20"/>
              </w:rPr>
              <w:t>预算限额（元）</w:t>
            </w:r>
          </w:p>
        </w:tc>
        <w:tc>
          <w:tcPr>
            <w:tcW w:w="8370" w:type="dxa"/>
            <w:gridSpan w:val="3"/>
            <w:vAlign w:val="center"/>
          </w:tcPr>
          <w:p w14:paraId="526DAAD1">
            <w:pPr>
              <w:widowControl/>
              <w:ind w:firstLine="220" w:firstLineChars="110"/>
              <w:jc w:val="left"/>
              <w:rPr>
                <w:rFonts w:hint="default"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市场调研后确认</w:t>
            </w:r>
          </w:p>
        </w:tc>
      </w:tr>
      <w:tr w14:paraId="34BFD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68" w:type="dxa"/>
            <w:vAlign w:val="center"/>
          </w:tcPr>
          <w:p w14:paraId="0E81BAE0">
            <w:pPr>
              <w:widowControl/>
              <w:spacing w:before="100" w:beforeAutospacing="1" w:after="100" w:afterAutospacing="1"/>
              <w:jc w:val="left"/>
              <w:rPr>
                <w:rFonts w:ascii="宋体" w:hAnsi="宋体" w:eastAsia="宋体" w:cs="宋体"/>
                <w:kern w:val="0"/>
                <w:sz w:val="20"/>
                <w:szCs w:val="20"/>
              </w:rPr>
            </w:pPr>
            <w:r>
              <w:rPr>
                <w:rFonts w:ascii="宋体" w:hAnsi="宋体" w:eastAsia="宋体" w:cs="宋体"/>
                <w:b/>
                <w:bCs/>
                <w:kern w:val="0"/>
                <w:sz w:val="20"/>
                <w:szCs w:val="20"/>
              </w:rPr>
              <w:t>项目背景</w:t>
            </w:r>
            <w:r>
              <w:rPr>
                <w:rFonts w:ascii="宋体" w:hAnsi="宋体" w:eastAsia="宋体" w:cs="宋体"/>
                <w:kern w:val="0"/>
                <w:sz w:val="20"/>
                <w:szCs w:val="20"/>
              </w:rPr>
              <w:t xml:space="preserve"> </w:t>
            </w:r>
          </w:p>
        </w:tc>
        <w:tc>
          <w:tcPr>
            <w:tcW w:w="8370" w:type="dxa"/>
            <w:gridSpan w:val="3"/>
            <w:vAlign w:val="center"/>
          </w:tcPr>
          <w:p w14:paraId="11469E06">
            <w:pPr>
              <w:ind w:firstLine="420" w:firstLineChars="200"/>
              <w:rPr>
                <w:rFonts w:ascii="宋体" w:hAnsi="宋体" w:eastAsia="宋体" w:cs="Times New Roman"/>
              </w:rPr>
            </w:pPr>
            <w:r>
              <w:rPr>
                <w:rFonts w:hint="eastAsia" w:ascii="宋体" w:hAnsi="宋体" w:eastAsia="宋体" w:cs="Times New Roman"/>
              </w:rPr>
              <w:t>我院自 2020 年启动网络安全建设，并通过连续三年度的网络安全服务，已完成各项网络安全基础性工作，网络安全管理体系与技术防护体系初步建立，具备了一定的网络安全管理基础和技术防护手段。</w:t>
            </w:r>
          </w:p>
          <w:p w14:paraId="00BB0DB0">
            <w:pPr>
              <w:ind w:firstLine="420" w:firstLineChars="200"/>
              <w:rPr>
                <w:rFonts w:ascii="宋体" w:hAnsi="宋体" w:eastAsia="宋体" w:cs="Times New Roman"/>
              </w:rPr>
            </w:pPr>
            <w:r>
              <w:rPr>
                <w:rFonts w:hint="eastAsia" w:ascii="宋体" w:hAnsi="宋体" w:eastAsia="宋体" w:cs="Times New Roman"/>
              </w:rPr>
              <w:t>随着《中华人民共和国网络安全法》《中华人民共和国数据安全法》《中华人民共和国个人信息保护法》《深圳经济特区数据条例》、网络安全等级保护制度等法律法规以及相关要求的出台和不断强化，对医院的网络安全建设提出了更高的要求。与此同时，省市常态化网络安全攻防演练和上级部门网络安全通报的力度持续加大，攻击手段向自动化、智能化演进，我院在网络安全、数据安全和安全管理制度落地等方面仍需持续提升。</w:t>
            </w:r>
          </w:p>
          <w:p w14:paraId="4C4957F3">
            <w:pPr>
              <w:ind w:firstLine="420" w:firstLineChars="200"/>
              <w:rPr>
                <w:rFonts w:ascii="宋体" w:hAnsi="宋体" w:eastAsia="宋体"/>
              </w:rPr>
            </w:pPr>
            <w:r>
              <w:rPr>
                <w:rFonts w:hint="eastAsia" w:ascii="宋体" w:hAnsi="宋体" w:eastAsia="宋体" w:cs="Times New Roman"/>
              </w:rPr>
              <w:t>根据《中华人民共和国网络安全法》、《中华人民共和国数据安全法》、《中华人民共和国个人信息保护法》、《深圳经济特区数据条例》、《信息安全技术网络安全等级保护基本要求》、《口腔医院等级评审标准与实施细则》、市卫生健康委《网络安全工作要点》和《网络安全等级保护测评报告整改意见》等文件要求，针对南方医科大学深圳口腔医院（坪山）网络、网站、安全设备、服务器及应用系统、业务系统，做好全年常态化及重要时期网络安全保障工作，重点防护影响系统稳定安全运行的安全事件的发生，并提供安全事故应急响应技术保障，根据国家标准进一步完善医院的网络安全管理体系，进一步提升医院的网络安全防护能力。</w:t>
            </w:r>
          </w:p>
        </w:tc>
      </w:tr>
      <w:tr w14:paraId="56539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blCellSpacing w:w="0" w:type="dxa"/>
          <w:jc w:val="center"/>
        </w:trPr>
        <w:tc>
          <w:tcPr>
            <w:tcW w:w="868" w:type="dxa"/>
            <w:vAlign w:val="center"/>
          </w:tcPr>
          <w:p w14:paraId="3FC8549B">
            <w:pPr>
              <w:widowControl/>
              <w:spacing w:before="100" w:beforeAutospacing="1" w:after="100" w:afterAutospacing="1"/>
              <w:jc w:val="left"/>
              <w:rPr>
                <w:rFonts w:ascii="宋体" w:hAnsi="宋体" w:eastAsia="宋体" w:cs="宋体"/>
                <w:kern w:val="0"/>
                <w:sz w:val="20"/>
                <w:szCs w:val="20"/>
              </w:rPr>
            </w:pPr>
            <w:r>
              <w:rPr>
                <w:rFonts w:ascii="宋体" w:hAnsi="宋体" w:eastAsia="宋体" w:cs="宋体"/>
                <w:b/>
                <w:bCs/>
                <w:kern w:val="0"/>
                <w:sz w:val="20"/>
                <w:szCs w:val="20"/>
              </w:rPr>
              <w:t>参与市场调研资质要求</w:t>
            </w:r>
            <w:r>
              <w:rPr>
                <w:rFonts w:ascii="宋体" w:hAnsi="宋体" w:eastAsia="宋体" w:cs="宋体"/>
                <w:kern w:val="0"/>
                <w:sz w:val="20"/>
                <w:szCs w:val="20"/>
              </w:rPr>
              <w:t xml:space="preserve"> </w:t>
            </w:r>
          </w:p>
        </w:tc>
        <w:tc>
          <w:tcPr>
            <w:tcW w:w="8370" w:type="dxa"/>
            <w:gridSpan w:val="3"/>
            <w:vAlign w:val="center"/>
          </w:tcPr>
          <w:p w14:paraId="0362924F">
            <w:pPr>
              <w:widowControl/>
              <w:jc w:val="left"/>
            </w:pPr>
            <w:r>
              <w:rPr>
                <w:rFonts w:hint="eastAsia"/>
              </w:rPr>
              <w:t>（1）参与市场调研</w:t>
            </w:r>
            <w:r>
              <w:rPr>
                <w:rFonts w:hint="eastAsia"/>
                <w:lang w:val="en-US" w:eastAsia="zh-CN"/>
              </w:rPr>
              <w:t>的单位</w:t>
            </w:r>
            <w:r>
              <w:rPr>
                <w:rFonts w:hint="eastAsia"/>
              </w:rPr>
              <w:t>必须具有独立法人资格（提供营业执照原件扫描件并加盖参与市场调研人公章）。</w:t>
            </w:r>
          </w:p>
          <w:p w14:paraId="77938590">
            <w:pPr>
              <w:widowControl/>
              <w:jc w:val="left"/>
            </w:pPr>
            <w:r>
              <w:rPr>
                <w:rFonts w:hint="eastAsia"/>
              </w:rPr>
              <w:t>（2）本项目不接受联合体参与市场调研，不允许分包、转包，不接受参与市场调研人选用进口产品参与市场调研(由参与市场调研人在《政府采购投标及履约承诺函》中作出声明）。</w:t>
            </w:r>
          </w:p>
          <w:p w14:paraId="7177CD3C">
            <w:pPr>
              <w:widowControl/>
              <w:jc w:val="left"/>
            </w:pPr>
            <w:r>
              <w:rPr>
                <w:rFonts w:hint="eastAsia"/>
              </w:rPr>
              <w:t>（3）参与市场调研</w:t>
            </w:r>
            <w:r>
              <w:rPr>
                <w:rFonts w:hint="eastAsia"/>
                <w:lang w:val="en-US" w:eastAsia="zh-CN"/>
              </w:rPr>
              <w:t>的单位</w:t>
            </w:r>
            <w:r>
              <w:rPr>
                <w:rFonts w:hint="eastAsia"/>
              </w:rPr>
              <w:t>近三年内无行贿犯罪记录（由参与市场调研人在《政府采购投标及履约承诺函》中作出声明）。</w:t>
            </w:r>
          </w:p>
          <w:p w14:paraId="1C09749B">
            <w:pPr>
              <w:widowControl/>
              <w:jc w:val="left"/>
            </w:pPr>
            <w:r>
              <w:rPr>
                <w:rFonts w:hint="eastAsia"/>
              </w:rPr>
              <w:t>（4）参与本项目市场调研</w:t>
            </w:r>
            <w:r>
              <w:rPr>
                <w:rFonts w:hint="eastAsia"/>
                <w:lang w:val="en-US" w:eastAsia="zh-CN"/>
              </w:rPr>
              <w:t>的单位</w:t>
            </w:r>
            <w:r>
              <w:rPr>
                <w:rFonts w:hint="eastAsia"/>
              </w:rPr>
              <w:t>未被列入“信用中国”网站(www.creditchina.gov.cn)以下情形之一：①记录失信被执行人，②重大税收违法案件当事人名单（由参与市场调研</w:t>
            </w:r>
            <w:r>
              <w:rPr>
                <w:rFonts w:hint="eastAsia"/>
                <w:lang w:val="en-US" w:eastAsia="zh-CN"/>
              </w:rPr>
              <w:t>单位</w:t>
            </w:r>
            <w:r>
              <w:rPr>
                <w:rFonts w:hint="eastAsia"/>
              </w:rPr>
              <w:t>提供“信用中国”网站①记录失信被执行人名单查询截图、②重大税收违法案件当事人名单查询截图）。</w:t>
            </w:r>
          </w:p>
          <w:p w14:paraId="31CB10E3">
            <w:pPr>
              <w:widowControl/>
              <w:jc w:val="left"/>
              <w:rPr>
                <w:rFonts w:hint="eastAsia"/>
              </w:rPr>
            </w:pPr>
            <w:r>
              <w:rPr>
                <w:rFonts w:hint="eastAsia"/>
              </w:rPr>
              <w:t>（5）参与本项目的市场调研</w:t>
            </w:r>
            <w:r>
              <w:rPr>
                <w:rFonts w:hint="eastAsia"/>
                <w:lang w:val="en-US" w:eastAsia="zh-CN"/>
              </w:rPr>
              <w:t>的单位</w:t>
            </w:r>
            <w:r>
              <w:rPr>
                <w:rFonts w:hint="eastAsia"/>
              </w:rPr>
              <w:t>不存在被有关部门禁止参与政府采购活动且在有效期内的情况（由参与市场调研</w:t>
            </w:r>
            <w:r>
              <w:rPr>
                <w:rFonts w:hint="eastAsia"/>
                <w:lang w:val="en-US" w:eastAsia="zh-CN"/>
              </w:rPr>
              <w:t>的单位</w:t>
            </w:r>
            <w:r>
              <w:rPr>
                <w:rFonts w:hint="eastAsia"/>
              </w:rPr>
              <w:t>在《政府采购投标及履约承诺函》中作出声明）。</w:t>
            </w:r>
          </w:p>
          <w:p w14:paraId="0A638FE3">
            <w:pPr>
              <w:widowControl/>
              <w:jc w:val="left"/>
            </w:pPr>
            <w:r>
              <w:rPr>
                <w:rFonts w:hint="eastAsia"/>
                <w:lang w:val="en-US" w:eastAsia="zh-CN"/>
              </w:rPr>
              <w:t>（6）不同供应商的法定代表人、主要经营负责人、项目投标授权代表人、项目负责人、主要技术人员不得为同一人、属同一单位或者在同一单位缴纳社会保险；不同供应商的报价文件不得由同一单位或者同一人编制；单位负责人为同一人或者存在直接控股、管理关系的不同供应商，不得参加本项目市场调</w:t>
            </w:r>
            <w:bookmarkStart w:id="6" w:name="_GoBack"/>
            <w:bookmarkEnd w:id="6"/>
            <w:r>
              <w:rPr>
                <w:rFonts w:hint="eastAsia"/>
                <w:lang w:val="en-US" w:eastAsia="zh-CN"/>
              </w:rPr>
              <w:t>研活动（由供应商填写《供应商基本情况表》相关信息）</w:t>
            </w:r>
          </w:p>
        </w:tc>
      </w:tr>
      <w:tr w14:paraId="41ACE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767" w:hRule="atLeast"/>
          <w:tblCellSpacing w:w="0" w:type="dxa"/>
          <w:jc w:val="center"/>
        </w:trPr>
        <w:tc>
          <w:tcPr>
            <w:tcW w:w="868" w:type="dxa"/>
            <w:vAlign w:val="center"/>
          </w:tcPr>
          <w:p w14:paraId="6110F200">
            <w:pPr>
              <w:widowControl/>
              <w:spacing w:before="100" w:beforeAutospacing="1" w:after="100" w:afterAutospacing="1"/>
              <w:jc w:val="left"/>
              <w:rPr>
                <w:rFonts w:ascii="宋体" w:hAnsi="宋体" w:eastAsia="宋体" w:cs="宋体"/>
                <w:kern w:val="0"/>
                <w:sz w:val="20"/>
                <w:szCs w:val="20"/>
              </w:rPr>
            </w:pPr>
            <w:r>
              <w:rPr>
                <w:rFonts w:hint="eastAsia" w:ascii="宋体" w:hAnsi="宋体" w:eastAsia="宋体" w:cs="宋体"/>
                <w:b/>
                <w:bCs/>
                <w:kern w:val="0"/>
                <w:sz w:val="20"/>
                <w:szCs w:val="20"/>
              </w:rPr>
              <w:t>服务</w:t>
            </w:r>
            <w:r>
              <w:rPr>
                <w:rFonts w:ascii="宋体" w:hAnsi="宋体" w:eastAsia="宋体" w:cs="宋体"/>
                <w:b/>
                <w:bCs/>
                <w:kern w:val="0"/>
                <w:sz w:val="20"/>
                <w:szCs w:val="20"/>
              </w:rPr>
              <w:t>清单</w:t>
            </w:r>
            <w:r>
              <w:rPr>
                <w:rFonts w:ascii="宋体" w:hAnsi="宋体" w:eastAsia="宋体" w:cs="宋体"/>
                <w:kern w:val="0"/>
                <w:sz w:val="20"/>
                <w:szCs w:val="20"/>
              </w:rPr>
              <w:t xml:space="preserve"> </w:t>
            </w:r>
          </w:p>
        </w:tc>
        <w:tc>
          <w:tcPr>
            <w:tcW w:w="8370" w:type="dxa"/>
            <w:gridSpan w:val="3"/>
            <w:vAlign w:val="center"/>
          </w:tcPr>
          <w:tbl>
            <w:tblPr>
              <w:tblStyle w:val="12"/>
              <w:tblpPr w:leftFromText="180" w:rightFromText="180" w:vertAnchor="text" w:horzAnchor="page" w:tblpX="1" w:tblpY="432"/>
              <w:tblOverlap w:val="never"/>
              <w:tblW w:w="8359" w:type="dxa"/>
              <w:tblInd w:w="0" w:type="dxa"/>
              <w:tblLayout w:type="fixed"/>
              <w:tblCellMar>
                <w:top w:w="0" w:type="dxa"/>
                <w:left w:w="108" w:type="dxa"/>
                <w:bottom w:w="0" w:type="dxa"/>
                <w:right w:w="108" w:type="dxa"/>
              </w:tblCellMar>
            </w:tblPr>
            <w:tblGrid>
              <w:gridCol w:w="462"/>
              <w:gridCol w:w="1049"/>
              <w:gridCol w:w="4013"/>
              <w:gridCol w:w="850"/>
              <w:gridCol w:w="1985"/>
            </w:tblGrid>
            <w:tr w14:paraId="7748C642">
              <w:tblPrEx>
                <w:tblCellMar>
                  <w:top w:w="0" w:type="dxa"/>
                  <w:left w:w="108" w:type="dxa"/>
                  <w:bottom w:w="0" w:type="dxa"/>
                  <w:right w:w="108" w:type="dxa"/>
                </w:tblCellMar>
              </w:tblPrEx>
              <w:trPr>
                <w:trHeight w:val="628"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6220DA17">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序号</w:t>
                  </w:r>
                </w:p>
              </w:tc>
              <w:tc>
                <w:tcPr>
                  <w:tcW w:w="1049" w:type="dxa"/>
                  <w:tcBorders>
                    <w:top w:val="single" w:color="000000" w:sz="4" w:space="0"/>
                    <w:left w:val="single" w:color="000000" w:sz="4" w:space="0"/>
                    <w:bottom w:val="single" w:color="000000" w:sz="4" w:space="0"/>
                    <w:right w:val="single" w:color="000000" w:sz="4" w:space="0"/>
                  </w:tcBorders>
                  <w:vAlign w:val="center"/>
                </w:tcPr>
                <w:p w14:paraId="215B9A5F">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服务项</w:t>
                  </w:r>
                </w:p>
              </w:tc>
              <w:tc>
                <w:tcPr>
                  <w:tcW w:w="4013" w:type="dxa"/>
                  <w:tcBorders>
                    <w:top w:val="single" w:color="000000" w:sz="4" w:space="0"/>
                    <w:left w:val="single" w:color="000000" w:sz="4" w:space="0"/>
                    <w:bottom w:val="single" w:color="000000" w:sz="4" w:space="0"/>
                    <w:right w:val="single" w:color="000000" w:sz="4" w:space="0"/>
                  </w:tcBorders>
                  <w:vAlign w:val="center"/>
                </w:tcPr>
                <w:p w14:paraId="523DE535">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服务简述</w:t>
                  </w:r>
                </w:p>
              </w:tc>
              <w:tc>
                <w:tcPr>
                  <w:tcW w:w="850" w:type="dxa"/>
                  <w:tcBorders>
                    <w:top w:val="single" w:color="000000" w:sz="4" w:space="0"/>
                    <w:left w:val="single" w:color="000000" w:sz="4" w:space="0"/>
                    <w:bottom w:val="single" w:color="000000" w:sz="4" w:space="0"/>
                    <w:right w:val="single" w:color="auto" w:sz="4" w:space="0"/>
                  </w:tcBorders>
                  <w:vAlign w:val="center"/>
                </w:tcPr>
                <w:p w14:paraId="2B8F1306">
                  <w:pPr>
                    <w:widowControl/>
                    <w:jc w:val="center"/>
                    <w:textAlignment w:val="center"/>
                    <w:rPr>
                      <w:rFonts w:ascii="宋体" w:hAnsi="宋体" w:eastAsia="宋体" w:cs="宋体"/>
                      <w:b/>
                      <w:bCs/>
                      <w:szCs w:val="21"/>
                    </w:rPr>
                  </w:pPr>
                  <w:r>
                    <w:rPr>
                      <w:rFonts w:hint="eastAsia" w:ascii="宋体" w:hAnsi="宋体" w:eastAsia="宋体" w:cs="宋体"/>
                      <w:b/>
                      <w:bCs/>
                      <w:kern w:val="0"/>
                      <w:szCs w:val="21"/>
                      <w:lang w:bidi="ar"/>
                    </w:rPr>
                    <w:t>频率与范围</w:t>
                  </w:r>
                </w:p>
              </w:tc>
              <w:tc>
                <w:tcPr>
                  <w:tcW w:w="1985" w:type="dxa"/>
                  <w:tcBorders>
                    <w:top w:val="single" w:color="000000" w:sz="4" w:space="0"/>
                    <w:left w:val="single" w:color="auto" w:sz="4" w:space="0"/>
                    <w:bottom w:val="single" w:color="000000" w:sz="4" w:space="0"/>
                    <w:right w:val="single" w:color="000000" w:sz="4" w:space="0"/>
                  </w:tcBorders>
                  <w:vAlign w:val="center"/>
                </w:tcPr>
                <w:p w14:paraId="2AD98ED2">
                  <w:pPr>
                    <w:widowControl/>
                    <w:jc w:val="center"/>
                    <w:textAlignment w:val="center"/>
                    <w:rPr>
                      <w:rFonts w:ascii="宋体" w:hAnsi="宋体" w:eastAsia="宋体" w:cs="宋体"/>
                      <w:b/>
                      <w:bCs/>
                      <w:szCs w:val="21"/>
                    </w:rPr>
                  </w:pPr>
                  <w:r>
                    <w:rPr>
                      <w:rFonts w:hint="eastAsia" w:ascii="宋体" w:hAnsi="宋体" w:eastAsia="宋体" w:cs="宋体"/>
                      <w:b/>
                      <w:bCs/>
                      <w:szCs w:val="21"/>
                    </w:rPr>
                    <w:t>具体要求</w:t>
                  </w:r>
                </w:p>
              </w:tc>
            </w:tr>
            <w:tr w14:paraId="0CDCC02D">
              <w:tblPrEx>
                <w:tblCellMar>
                  <w:top w:w="0" w:type="dxa"/>
                  <w:left w:w="108" w:type="dxa"/>
                  <w:bottom w:w="0" w:type="dxa"/>
                  <w:right w:w="108" w:type="dxa"/>
                </w:tblCellMar>
              </w:tblPrEx>
              <w:trPr>
                <w:trHeight w:val="71"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3DEAC61E">
                  <w:pPr>
                    <w:widowControl/>
                    <w:jc w:val="center"/>
                    <w:textAlignment w:val="center"/>
                    <w:rPr>
                      <w:rFonts w:ascii="宋体" w:hAnsi="宋体" w:eastAsia="宋体" w:cs="宋体"/>
                      <w:szCs w:val="21"/>
                    </w:rPr>
                  </w:pPr>
                  <w:r>
                    <w:rPr>
                      <w:rFonts w:hint="eastAsia" w:ascii="宋体" w:hAnsi="宋体" w:eastAsia="宋体" w:cs="宋体"/>
                      <w:kern w:val="0"/>
                      <w:szCs w:val="21"/>
                      <w:lang w:bidi="ar"/>
                    </w:rPr>
                    <w:t>1</w:t>
                  </w:r>
                </w:p>
              </w:tc>
              <w:tc>
                <w:tcPr>
                  <w:tcW w:w="1049" w:type="dxa"/>
                  <w:tcBorders>
                    <w:top w:val="single" w:color="000000" w:sz="4" w:space="0"/>
                    <w:left w:val="single" w:color="000000" w:sz="4" w:space="0"/>
                    <w:bottom w:val="single" w:color="000000" w:sz="4" w:space="0"/>
                    <w:right w:val="single" w:color="000000" w:sz="4" w:space="0"/>
                  </w:tcBorders>
                  <w:vAlign w:val="center"/>
                </w:tcPr>
                <w:p w14:paraId="72BF355A">
                  <w:pPr>
                    <w:widowControl/>
                    <w:jc w:val="center"/>
                    <w:textAlignment w:val="center"/>
                    <w:rPr>
                      <w:rFonts w:ascii="宋体" w:hAnsi="宋体" w:eastAsia="宋体" w:cs="宋体"/>
                      <w:szCs w:val="21"/>
                    </w:rPr>
                  </w:pPr>
                  <w:r>
                    <w:rPr>
                      <w:rFonts w:hint="eastAsia" w:ascii="宋体" w:hAnsi="宋体" w:eastAsia="宋体" w:cs="宋体"/>
                      <w:kern w:val="0"/>
                      <w:szCs w:val="21"/>
                      <w:lang w:bidi="ar"/>
                    </w:rPr>
                    <w:t>等级保护测评</w:t>
                  </w:r>
                </w:p>
              </w:tc>
              <w:tc>
                <w:tcPr>
                  <w:tcW w:w="4013" w:type="dxa"/>
                  <w:tcBorders>
                    <w:top w:val="single" w:color="000000" w:sz="4" w:space="0"/>
                    <w:left w:val="single" w:color="000000" w:sz="4" w:space="0"/>
                    <w:bottom w:val="single" w:color="000000" w:sz="4" w:space="0"/>
                    <w:right w:val="single" w:color="000000" w:sz="4" w:space="0"/>
                  </w:tcBorders>
                  <w:vAlign w:val="center"/>
                </w:tcPr>
                <w:p w14:paraId="2C6EB056">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针对医院业务应用系统（HIS系统、PACS系统以及LIS系统按照三级标准）进行等级测评，做好系统定级备案、等保差距自测评、等保整改工作,</w:t>
                  </w:r>
                  <w:r>
                    <w:rPr>
                      <w:rFonts w:hint="eastAsia"/>
                    </w:rPr>
                    <w:t xml:space="preserve"> </w:t>
                  </w:r>
                  <w:r>
                    <w:rPr>
                      <w:rFonts w:hint="eastAsia" w:ascii="宋体" w:hAnsi="宋体" w:eastAsia="宋体" w:cs="宋体"/>
                      <w:kern w:val="0"/>
                      <w:szCs w:val="21"/>
                      <w:lang w:bidi="ar"/>
                    </w:rPr>
                    <w:t>对系统进行安全测评，提交《网络安全等级测评报告》，并将报告提交至监管部门,并输出整改建议报告。</w:t>
                  </w:r>
                </w:p>
              </w:tc>
              <w:tc>
                <w:tcPr>
                  <w:tcW w:w="850" w:type="dxa"/>
                  <w:tcBorders>
                    <w:top w:val="nil"/>
                    <w:left w:val="single" w:color="000000" w:sz="4" w:space="0"/>
                    <w:bottom w:val="single" w:color="000000" w:sz="4" w:space="0"/>
                    <w:right w:val="single" w:color="auto" w:sz="4" w:space="0"/>
                  </w:tcBorders>
                  <w:vAlign w:val="center"/>
                </w:tcPr>
                <w:p w14:paraId="2D6FA9C9">
                  <w:pPr>
                    <w:widowControl/>
                    <w:jc w:val="center"/>
                    <w:textAlignment w:val="center"/>
                    <w:rPr>
                      <w:rFonts w:ascii="宋体" w:hAnsi="宋体" w:eastAsia="宋体" w:cs="宋体"/>
                      <w:szCs w:val="21"/>
                    </w:rPr>
                  </w:pPr>
                  <w:r>
                    <w:rPr>
                      <w:rFonts w:hint="eastAsia" w:ascii="宋体" w:hAnsi="宋体" w:eastAsia="宋体" w:cs="宋体"/>
                      <w:kern w:val="0"/>
                      <w:szCs w:val="21"/>
                      <w:lang w:bidi="ar"/>
                    </w:rPr>
                    <w:t>5个</w:t>
                  </w:r>
                </w:p>
              </w:tc>
              <w:tc>
                <w:tcPr>
                  <w:tcW w:w="1985" w:type="dxa"/>
                  <w:tcBorders>
                    <w:top w:val="nil"/>
                    <w:left w:val="single" w:color="auto" w:sz="4" w:space="0"/>
                    <w:bottom w:val="single" w:color="000000" w:sz="4" w:space="0"/>
                    <w:right w:val="single" w:color="000000" w:sz="4" w:space="0"/>
                  </w:tcBorders>
                  <w:vAlign w:val="center"/>
                </w:tcPr>
                <w:p w14:paraId="2FD155FE">
                  <w:pPr>
                    <w:widowControl/>
                    <w:jc w:val="center"/>
                    <w:textAlignment w:val="center"/>
                    <w:rPr>
                      <w:rFonts w:ascii="宋体" w:hAnsi="宋体" w:eastAsia="宋体" w:cs="宋体"/>
                      <w:szCs w:val="21"/>
                    </w:rPr>
                  </w:pPr>
                  <w:r>
                    <w:rPr>
                      <w:rFonts w:hint="eastAsia" w:ascii="宋体" w:hAnsi="宋体" w:eastAsia="宋体" w:cs="宋体"/>
                      <w:szCs w:val="21"/>
                    </w:rPr>
                    <w:t>按照《网络安全法》《网络安全等级保护条例》等开展网络安全等级保护测评及备案，提供符合要求的报告。</w:t>
                  </w:r>
                </w:p>
              </w:tc>
            </w:tr>
            <w:tr w14:paraId="42A8B766">
              <w:tblPrEx>
                <w:tblCellMar>
                  <w:top w:w="0" w:type="dxa"/>
                  <w:left w:w="108" w:type="dxa"/>
                  <w:bottom w:w="0" w:type="dxa"/>
                  <w:right w:w="108" w:type="dxa"/>
                </w:tblCellMar>
              </w:tblPrEx>
              <w:trPr>
                <w:trHeight w:val="3099"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0BC53C18">
                  <w:pPr>
                    <w:widowControl/>
                    <w:jc w:val="center"/>
                    <w:textAlignment w:val="center"/>
                    <w:rPr>
                      <w:rFonts w:ascii="宋体" w:hAnsi="宋体" w:eastAsia="宋体" w:cs="宋体"/>
                      <w:szCs w:val="21"/>
                    </w:rPr>
                  </w:pPr>
                  <w:r>
                    <w:rPr>
                      <w:rFonts w:hint="eastAsia" w:ascii="宋体" w:hAnsi="宋体" w:eastAsia="宋体" w:cs="宋体"/>
                      <w:kern w:val="0"/>
                      <w:szCs w:val="21"/>
                      <w:lang w:bidi="ar"/>
                    </w:rPr>
                    <w:t>2</w:t>
                  </w:r>
                </w:p>
              </w:tc>
              <w:tc>
                <w:tcPr>
                  <w:tcW w:w="1049" w:type="dxa"/>
                  <w:tcBorders>
                    <w:top w:val="single" w:color="000000" w:sz="4" w:space="0"/>
                    <w:left w:val="single" w:color="000000" w:sz="4" w:space="0"/>
                    <w:bottom w:val="single" w:color="000000" w:sz="4" w:space="0"/>
                    <w:right w:val="single" w:color="000000" w:sz="4" w:space="0"/>
                  </w:tcBorders>
                  <w:vAlign w:val="center"/>
                </w:tcPr>
                <w:p w14:paraId="289F0B9C">
                  <w:pPr>
                    <w:widowControl/>
                    <w:jc w:val="left"/>
                    <w:textAlignment w:val="center"/>
                    <w:rPr>
                      <w:rFonts w:ascii="宋体" w:hAnsi="宋体" w:eastAsia="宋体" w:cs="宋体"/>
                      <w:szCs w:val="21"/>
                    </w:rPr>
                  </w:pPr>
                  <w:r>
                    <w:rPr>
                      <w:rFonts w:hint="eastAsia" w:ascii="宋体" w:hAnsi="宋体" w:eastAsia="宋体" w:cs="宋体"/>
                      <w:kern w:val="0"/>
                      <w:szCs w:val="21"/>
                      <w:lang w:bidi="ar"/>
                    </w:rPr>
                    <w:t>资产梳理（含接入网部网络的医疗设备）</w:t>
                  </w:r>
                </w:p>
              </w:tc>
              <w:tc>
                <w:tcPr>
                  <w:tcW w:w="4013" w:type="dxa"/>
                  <w:tcBorders>
                    <w:top w:val="single" w:color="000000" w:sz="4" w:space="0"/>
                    <w:left w:val="single" w:color="000000" w:sz="4" w:space="0"/>
                    <w:bottom w:val="single" w:color="000000" w:sz="4" w:space="0"/>
                    <w:right w:val="single" w:color="000000" w:sz="4" w:space="0"/>
                  </w:tcBorders>
                  <w:vAlign w:val="center"/>
                </w:tcPr>
                <w:p w14:paraId="788D1D8F">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针对医院所有生产系统及网络设备、安全设备、终端和移动终端、存储设备、应用系统，利用工具扫描资产，建立台账,通过对现有的网络环境进行资产分类，了解目前的安全现状以及薄弱性。梳理核心资产与边缘资产，核心资产重点防护，建立资产防护基线。对所有对外资产进行探测，梳理出各业务系统的资产信息，关闭对外暴露的多余端口。从而医院能更清晰明了知晓自身资产信息情况。</w:t>
                  </w:r>
                </w:p>
              </w:tc>
              <w:tc>
                <w:tcPr>
                  <w:tcW w:w="850" w:type="dxa"/>
                  <w:tcBorders>
                    <w:top w:val="single" w:color="000000" w:sz="4" w:space="0"/>
                    <w:left w:val="single" w:color="000000" w:sz="4" w:space="0"/>
                    <w:bottom w:val="single" w:color="000000" w:sz="4" w:space="0"/>
                    <w:right w:val="single" w:color="auto" w:sz="4" w:space="0"/>
                  </w:tcBorders>
                  <w:vAlign w:val="center"/>
                </w:tcPr>
                <w:p w14:paraId="58B3F880">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至少2次/年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0B512297">
                  <w:pPr>
                    <w:widowControl/>
                    <w:jc w:val="left"/>
                    <w:textAlignment w:val="center"/>
                    <w:rPr>
                      <w:rFonts w:ascii="宋体" w:hAnsi="宋体" w:eastAsia="宋体" w:cs="宋体"/>
                      <w:szCs w:val="21"/>
                    </w:rPr>
                  </w:pPr>
                  <w:r>
                    <w:rPr>
                      <w:rFonts w:hint="eastAsia" w:ascii="宋体" w:hAnsi="宋体" w:eastAsia="宋体" w:cs="宋体"/>
                      <w:szCs w:val="21"/>
                    </w:rPr>
                    <w:t>要求输出详细的资产信息，包括但不限于资产信息表、资产分布图</w:t>
                  </w:r>
                </w:p>
              </w:tc>
            </w:tr>
            <w:tr w14:paraId="4FB60CF1">
              <w:tblPrEx>
                <w:tblCellMar>
                  <w:top w:w="0" w:type="dxa"/>
                  <w:left w:w="108" w:type="dxa"/>
                  <w:bottom w:w="0" w:type="dxa"/>
                  <w:right w:w="108" w:type="dxa"/>
                </w:tblCellMar>
              </w:tblPrEx>
              <w:trPr>
                <w:trHeight w:val="2408"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6151265B">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3</w:t>
                  </w:r>
                </w:p>
              </w:tc>
              <w:tc>
                <w:tcPr>
                  <w:tcW w:w="1049" w:type="dxa"/>
                  <w:tcBorders>
                    <w:top w:val="single" w:color="000000" w:sz="4" w:space="0"/>
                    <w:left w:val="single" w:color="000000" w:sz="4" w:space="0"/>
                    <w:bottom w:val="single" w:color="000000" w:sz="4" w:space="0"/>
                    <w:right w:val="single" w:color="000000" w:sz="4" w:space="0"/>
                  </w:tcBorders>
                  <w:vAlign w:val="center"/>
                </w:tcPr>
                <w:p w14:paraId="23341A81">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互联网暴露面检测</w:t>
                  </w:r>
                </w:p>
              </w:tc>
              <w:tc>
                <w:tcPr>
                  <w:tcW w:w="4013" w:type="dxa"/>
                  <w:tcBorders>
                    <w:top w:val="single" w:color="000000" w:sz="4" w:space="0"/>
                    <w:left w:val="single" w:color="000000" w:sz="4" w:space="0"/>
                    <w:bottom w:val="single" w:color="000000" w:sz="4" w:space="0"/>
                    <w:right w:val="single" w:color="000000" w:sz="4" w:space="0"/>
                  </w:tcBorders>
                  <w:vAlign w:val="center"/>
                </w:tcPr>
                <w:p w14:paraId="581951F8">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互联网暴露面即医院暴露在互联网中的网络资产，根据医院提供的根域名、IP 等信息的基础上，对医院在互联网上暴露的 IP 资产、指纹资产等信息进行搜集，发现并清点医院未知的、面向外部的资产和系统，避免影子资产长期失管。在人工检查整理后形成互联网资产台账与暴露面检测报告提交医院，摸清医院互联网资产底数。</w:t>
                  </w:r>
                </w:p>
              </w:tc>
              <w:tc>
                <w:tcPr>
                  <w:tcW w:w="850" w:type="dxa"/>
                  <w:tcBorders>
                    <w:top w:val="single" w:color="000000" w:sz="4" w:space="0"/>
                    <w:left w:val="single" w:color="000000" w:sz="4" w:space="0"/>
                    <w:bottom w:val="single" w:color="000000" w:sz="4" w:space="0"/>
                    <w:right w:val="single" w:color="auto" w:sz="4" w:space="0"/>
                  </w:tcBorders>
                  <w:vAlign w:val="center"/>
                </w:tcPr>
                <w:p w14:paraId="508F61A1">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至少6次/年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2E36E944">
                  <w:pPr>
                    <w:widowControl/>
                    <w:jc w:val="left"/>
                    <w:textAlignment w:val="center"/>
                    <w:rPr>
                      <w:rFonts w:ascii="宋体" w:hAnsi="宋体" w:eastAsia="宋体" w:cs="宋体"/>
                      <w:szCs w:val="21"/>
                    </w:rPr>
                  </w:pPr>
                  <w:r>
                    <w:rPr>
                      <w:rFonts w:hint="eastAsia" w:ascii="宋体" w:hAnsi="宋体" w:eastAsia="宋体" w:cs="宋体"/>
                      <w:szCs w:val="21"/>
                    </w:rPr>
                    <w:t>要求输出详细的暴露面和敏感信息表</w:t>
                  </w:r>
                </w:p>
              </w:tc>
            </w:tr>
            <w:tr w14:paraId="36E8F150">
              <w:tblPrEx>
                <w:tblCellMar>
                  <w:top w:w="0" w:type="dxa"/>
                  <w:left w:w="108" w:type="dxa"/>
                  <w:bottom w:w="0" w:type="dxa"/>
                  <w:right w:w="108" w:type="dxa"/>
                </w:tblCellMar>
              </w:tblPrEx>
              <w:trPr>
                <w:trHeight w:val="3408"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5D9094E7">
                  <w:pPr>
                    <w:widowControl/>
                    <w:jc w:val="center"/>
                    <w:textAlignment w:val="center"/>
                    <w:rPr>
                      <w:rFonts w:ascii="宋体" w:hAnsi="宋体" w:eastAsia="宋体" w:cs="宋体"/>
                      <w:szCs w:val="21"/>
                    </w:rPr>
                  </w:pPr>
                  <w:r>
                    <w:rPr>
                      <w:rFonts w:hint="eastAsia" w:ascii="宋体" w:hAnsi="宋体" w:eastAsia="宋体" w:cs="宋体"/>
                      <w:kern w:val="0"/>
                      <w:szCs w:val="21"/>
                      <w:lang w:bidi="ar"/>
                    </w:rPr>
                    <w:t>4</w:t>
                  </w:r>
                </w:p>
              </w:tc>
              <w:tc>
                <w:tcPr>
                  <w:tcW w:w="1049" w:type="dxa"/>
                  <w:tcBorders>
                    <w:top w:val="single" w:color="000000" w:sz="4" w:space="0"/>
                    <w:left w:val="single" w:color="000000" w:sz="4" w:space="0"/>
                    <w:bottom w:val="single" w:color="000000" w:sz="4" w:space="0"/>
                    <w:right w:val="single" w:color="000000" w:sz="4" w:space="0"/>
                  </w:tcBorders>
                  <w:vAlign w:val="center"/>
                </w:tcPr>
                <w:p w14:paraId="0EAD3B63">
                  <w:pPr>
                    <w:widowControl/>
                    <w:jc w:val="left"/>
                    <w:textAlignment w:val="center"/>
                    <w:rPr>
                      <w:rFonts w:ascii="宋体" w:hAnsi="宋体" w:eastAsia="宋体" w:cs="宋体"/>
                      <w:szCs w:val="21"/>
                    </w:rPr>
                  </w:pPr>
                  <w:r>
                    <w:rPr>
                      <w:rFonts w:hint="eastAsia" w:ascii="宋体" w:hAnsi="宋体" w:eastAsia="宋体" w:cs="宋体"/>
                      <w:kern w:val="0"/>
                      <w:szCs w:val="21"/>
                      <w:lang w:bidi="ar"/>
                    </w:rPr>
                    <w:t>网络数据安全风险评估</w:t>
                  </w:r>
                </w:p>
              </w:tc>
              <w:tc>
                <w:tcPr>
                  <w:tcW w:w="4013" w:type="dxa"/>
                  <w:tcBorders>
                    <w:top w:val="single" w:color="000000" w:sz="4" w:space="0"/>
                    <w:left w:val="single" w:color="000000" w:sz="4" w:space="0"/>
                    <w:bottom w:val="single" w:color="000000" w:sz="4" w:space="0"/>
                    <w:right w:val="single" w:color="000000" w:sz="4" w:space="0"/>
                  </w:tcBorders>
                  <w:vAlign w:val="center"/>
                </w:tcPr>
                <w:p w14:paraId="26CBF3CC">
                  <w:pPr>
                    <w:widowControl/>
                    <w:jc w:val="left"/>
                    <w:textAlignment w:val="center"/>
                    <w:rPr>
                      <w:rFonts w:ascii="宋体" w:hAnsi="宋体" w:eastAsia="宋体" w:cs="宋体"/>
                      <w:szCs w:val="21"/>
                    </w:rPr>
                  </w:pPr>
                  <w:r>
                    <w:rPr>
                      <w:rFonts w:hint="eastAsia" w:ascii="宋体" w:hAnsi="宋体" w:eastAsia="宋体" w:cs="宋体"/>
                      <w:kern w:val="0"/>
                      <w:szCs w:val="21"/>
                      <w:lang w:bidi="ar"/>
                    </w:rPr>
                    <w:t>网络数据安全风险评估对标医疗卫生机构数据安全相关要求，覆盖医院信息系统、数据库及数据处理全流程，重点围绕医院高敏感信息资产，采用制度审查、技术扫描、人员访谈与日志分析相结合的方式识别风险。服务内容包含调研业务流与数据流，从数据泄露、篡改、不可用三个层面分析威胁与脆弱性，计算风险值并确定风险等级与处置优先级，最终出具网络数据安全风险评估报告及整改建议，支撑医院数据安全建设。</w:t>
                  </w:r>
                </w:p>
              </w:tc>
              <w:tc>
                <w:tcPr>
                  <w:tcW w:w="850" w:type="dxa"/>
                  <w:tcBorders>
                    <w:top w:val="single" w:color="000000" w:sz="4" w:space="0"/>
                    <w:left w:val="single" w:color="000000" w:sz="4" w:space="0"/>
                    <w:bottom w:val="single" w:color="000000" w:sz="4" w:space="0"/>
                    <w:right w:val="single" w:color="auto" w:sz="4" w:space="0"/>
                  </w:tcBorders>
                  <w:vAlign w:val="center"/>
                </w:tcPr>
                <w:p w14:paraId="7954A0BD">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至少1次/年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3EA76560">
                  <w:pPr>
                    <w:widowControl/>
                    <w:jc w:val="left"/>
                    <w:textAlignment w:val="center"/>
                    <w:rPr>
                      <w:rFonts w:ascii="宋体" w:hAnsi="宋体" w:eastAsia="宋体" w:cs="宋体"/>
                      <w:szCs w:val="21"/>
                    </w:rPr>
                  </w:pPr>
                  <w:r>
                    <w:rPr>
                      <w:rFonts w:hint="eastAsia" w:ascii="宋体" w:hAnsi="宋体" w:eastAsia="宋体" w:cs="宋体"/>
                      <w:szCs w:val="21"/>
                    </w:rPr>
                    <w:t>要求输出详细的网络数据安全风险评估报告。</w:t>
                  </w:r>
                </w:p>
              </w:tc>
            </w:tr>
            <w:tr w14:paraId="31AE0D89">
              <w:tblPrEx>
                <w:tblCellMar>
                  <w:top w:w="0" w:type="dxa"/>
                  <w:left w:w="108" w:type="dxa"/>
                  <w:bottom w:w="0" w:type="dxa"/>
                  <w:right w:w="108" w:type="dxa"/>
                </w:tblCellMar>
              </w:tblPrEx>
              <w:trPr>
                <w:trHeight w:val="3717"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217E50F2">
                  <w:pPr>
                    <w:widowControl/>
                    <w:jc w:val="center"/>
                    <w:textAlignment w:val="center"/>
                    <w:rPr>
                      <w:rFonts w:ascii="宋体" w:hAnsi="宋体" w:eastAsia="宋体" w:cs="宋体"/>
                      <w:szCs w:val="21"/>
                    </w:rPr>
                  </w:pPr>
                  <w:r>
                    <w:rPr>
                      <w:rFonts w:hint="eastAsia" w:ascii="宋体" w:hAnsi="宋体" w:eastAsia="宋体" w:cs="宋体"/>
                      <w:kern w:val="0"/>
                      <w:szCs w:val="21"/>
                      <w:lang w:bidi="ar"/>
                    </w:rPr>
                    <w:t>5</w:t>
                  </w:r>
                </w:p>
              </w:tc>
              <w:tc>
                <w:tcPr>
                  <w:tcW w:w="1049" w:type="dxa"/>
                  <w:tcBorders>
                    <w:top w:val="single" w:color="000000" w:sz="4" w:space="0"/>
                    <w:left w:val="single" w:color="000000" w:sz="4" w:space="0"/>
                    <w:bottom w:val="single" w:color="000000" w:sz="4" w:space="0"/>
                    <w:right w:val="single" w:color="000000" w:sz="4" w:space="0"/>
                  </w:tcBorders>
                  <w:vAlign w:val="center"/>
                </w:tcPr>
                <w:p w14:paraId="05F42750">
                  <w:pPr>
                    <w:widowControl/>
                    <w:jc w:val="left"/>
                    <w:textAlignment w:val="center"/>
                    <w:rPr>
                      <w:rFonts w:ascii="宋体" w:hAnsi="宋体" w:eastAsia="宋体" w:cs="宋体"/>
                      <w:szCs w:val="21"/>
                    </w:rPr>
                  </w:pPr>
                  <w:r>
                    <w:rPr>
                      <w:rFonts w:hint="eastAsia" w:ascii="宋体" w:hAnsi="宋体" w:eastAsia="宋体" w:cs="宋体"/>
                      <w:kern w:val="0"/>
                      <w:szCs w:val="21"/>
                      <w:lang w:bidi="ar"/>
                    </w:rPr>
                    <w:t>漏洞管理及加固</w:t>
                  </w:r>
                </w:p>
              </w:tc>
              <w:tc>
                <w:tcPr>
                  <w:tcW w:w="4013" w:type="dxa"/>
                  <w:tcBorders>
                    <w:top w:val="single" w:color="000000" w:sz="4" w:space="0"/>
                    <w:left w:val="single" w:color="000000" w:sz="4" w:space="0"/>
                    <w:bottom w:val="single" w:color="000000" w:sz="4" w:space="0"/>
                    <w:right w:val="single" w:color="000000" w:sz="4" w:space="0"/>
                  </w:tcBorders>
                  <w:vAlign w:val="center"/>
                </w:tcPr>
                <w:p w14:paraId="0294E1E9">
                  <w:pPr>
                    <w:widowControl/>
                    <w:jc w:val="left"/>
                    <w:textAlignment w:val="center"/>
                    <w:rPr>
                      <w:rFonts w:ascii="宋体" w:hAnsi="宋体" w:eastAsia="宋体" w:cs="宋体"/>
                      <w:szCs w:val="21"/>
                    </w:rPr>
                  </w:pPr>
                  <w:r>
                    <w:rPr>
                      <w:rFonts w:hint="eastAsia" w:ascii="宋体" w:hAnsi="宋体" w:eastAsia="宋体" w:cs="宋体"/>
                      <w:kern w:val="0"/>
                      <w:szCs w:val="21"/>
                      <w:lang w:bidi="ar"/>
                    </w:rPr>
                    <w:t>根据医院网络安全现状，定期扫描医院全院系统真实的漏洞信息以及紧急漏洞信息，针对漏洞扫描、渗透测试、风险评估日常安服运维中发现的系统和安全设备漏洞，出具切实可行的漏洞整改方式、说明漏洞利用方法、危害、影响面；并对漏洞整改及加固情况进行统计、跟踪、协助加固及复测，协助医院信息技术人员将漏洞风险降低到最小化。输出《漏洞分析与整改报告》《漏洞处置情况报告》、《安全加固后系统安全评估报告》，至少10次。服务范围：全院信息资产。</w:t>
                  </w:r>
                </w:p>
              </w:tc>
              <w:tc>
                <w:tcPr>
                  <w:tcW w:w="850" w:type="dxa"/>
                  <w:tcBorders>
                    <w:top w:val="single" w:color="000000" w:sz="4" w:space="0"/>
                    <w:left w:val="single" w:color="000000" w:sz="4" w:space="0"/>
                    <w:bottom w:val="single" w:color="000000" w:sz="4" w:space="0"/>
                    <w:right w:val="single" w:color="auto" w:sz="4" w:space="0"/>
                  </w:tcBorders>
                  <w:vAlign w:val="center"/>
                </w:tcPr>
                <w:p w14:paraId="24AB63D0">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至少10次/年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5E20F6EF">
                  <w:pPr>
                    <w:widowControl/>
                    <w:jc w:val="left"/>
                    <w:textAlignment w:val="center"/>
                    <w:rPr>
                      <w:rFonts w:ascii="宋体" w:hAnsi="宋体" w:eastAsia="宋体" w:cs="宋体"/>
                      <w:szCs w:val="21"/>
                    </w:rPr>
                  </w:pPr>
                  <w:r>
                    <w:rPr>
                      <w:rFonts w:hint="eastAsia" w:ascii="宋体" w:hAnsi="宋体" w:eastAsia="宋体" w:cs="宋体"/>
                      <w:szCs w:val="21"/>
                    </w:rPr>
                    <w:t>输出漏洞管理台账，包含但不限于卫健委发布的漏洞告警、网信机构发布的预警，并落实漏洞的升级工作。</w:t>
                  </w:r>
                </w:p>
              </w:tc>
            </w:tr>
            <w:tr w14:paraId="2C0B6B4B">
              <w:tblPrEx>
                <w:tblCellMar>
                  <w:top w:w="0" w:type="dxa"/>
                  <w:left w:w="108" w:type="dxa"/>
                  <w:bottom w:w="0" w:type="dxa"/>
                  <w:right w:w="108" w:type="dxa"/>
                </w:tblCellMar>
              </w:tblPrEx>
              <w:trPr>
                <w:trHeight w:val="2481"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7D4A0B05">
                  <w:pPr>
                    <w:widowControl/>
                    <w:jc w:val="center"/>
                    <w:textAlignment w:val="center"/>
                    <w:rPr>
                      <w:rFonts w:ascii="宋体" w:hAnsi="宋体" w:eastAsia="宋体" w:cs="宋体"/>
                      <w:szCs w:val="21"/>
                    </w:rPr>
                  </w:pPr>
                  <w:r>
                    <w:rPr>
                      <w:rFonts w:hint="eastAsia" w:ascii="宋体" w:hAnsi="宋体" w:eastAsia="宋体" w:cs="宋体"/>
                      <w:kern w:val="0"/>
                      <w:szCs w:val="21"/>
                      <w:lang w:bidi="ar"/>
                    </w:rPr>
                    <w:t>6</w:t>
                  </w:r>
                </w:p>
              </w:tc>
              <w:tc>
                <w:tcPr>
                  <w:tcW w:w="1049" w:type="dxa"/>
                  <w:tcBorders>
                    <w:top w:val="single" w:color="000000" w:sz="4" w:space="0"/>
                    <w:left w:val="single" w:color="000000" w:sz="4" w:space="0"/>
                    <w:bottom w:val="single" w:color="000000" w:sz="4" w:space="0"/>
                    <w:right w:val="single" w:color="000000" w:sz="4" w:space="0"/>
                  </w:tcBorders>
                  <w:vAlign w:val="center"/>
                </w:tcPr>
                <w:p w14:paraId="1C95BF3F">
                  <w:pPr>
                    <w:widowControl/>
                    <w:jc w:val="left"/>
                    <w:textAlignment w:val="center"/>
                    <w:rPr>
                      <w:rFonts w:ascii="宋体" w:hAnsi="宋体" w:eastAsia="宋体" w:cs="宋体"/>
                      <w:szCs w:val="21"/>
                    </w:rPr>
                  </w:pPr>
                  <w:r>
                    <w:rPr>
                      <w:rFonts w:hint="eastAsia" w:ascii="宋体" w:hAnsi="宋体" w:eastAsia="宋体" w:cs="宋体"/>
                      <w:kern w:val="0"/>
                      <w:szCs w:val="21"/>
                      <w:lang w:bidi="ar"/>
                    </w:rPr>
                    <w:t>渗透测试</w:t>
                  </w:r>
                </w:p>
              </w:tc>
              <w:tc>
                <w:tcPr>
                  <w:tcW w:w="4013" w:type="dxa"/>
                  <w:tcBorders>
                    <w:top w:val="single" w:color="000000" w:sz="4" w:space="0"/>
                    <w:left w:val="single" w:color="000000" w:sz="4" w:space="0"/>
                    <w:bottom w:val="single" w:color="000000" w:sz="4" w:space="0"/>
                    <w:right w:val="single" w:color="000000" w:sz="4" w:space="0"/>
                  </w:tcBorders>
                  <w:vAlign w:val="center"/>
                </w:tcPr>
                <w:p w14:paraId="37D69440">
                  <w:pPr>
                    <w:widowControl/>
                    <w:jc w:val="left"/>
                    <w:textAlignment w:val="center"/>
                    <w:rPr>
                      <w:rFonts w:ascii="宋体" w:hAnsi="宋体" w:eastAsia="宋体" w:cs="宋体"/>
                      <w:szCs w:val="21"/>
                    </w:rPr>
                  </w:pPr>
                  <w:r>
                    <w:rPr>
                      <w:rFonts w:hint="eastAsia" w:ascii="宋体" w:hAnsi="宋体" w:eastAsia="宋体" w:cs="宋体"/>
                      <w:kern w:val="0"/>
                      <w:szCs w:val="21"/>
                      <w:lang w:bidi="ar"/>
                    </w:rPr>
                    <w:t>专业的深度渗透测试服务，针对暴露在互联网的全院重要信息资产，如web应用系统、服务器、数据库所存在的漏洞进行安全评估。通过安全专家对评估的系统进行模拟黑客攻击测试，利用AI自动化渗透检测能力辅助安全专家提供参考依据。最大限度的发现系统漏洞风险。测试包含渗透测试、安全复查、安全加固建议。从而减少医院核心业务系统漏洞风险。</w:t>
                  </w:r>
                </w:p>
              </w:tc>
              <w:tc>
                <w:tcPr>
                  <w:tcW w:w="850" w:type="dxa"/>
                  <w:tcBorders>
                    <w:top w:val="single" w:color="000000" w:sz="4" w:space="0"/>
                    <w:left w:val="single" w:color="000000" w:sz="4" w:space="0"/>
                    <w:bottom w:val="single" w:color="000000" w:sz="4" w:space="0"/>
                    <w:right w:val="single" w:color="auto" w:sz="4" w:space="0"/>
                  </w:tcBorders>
                  <w:vAlign w:val="center"/>
                </w:tcPr>
                <w:p w14:paraId="3E023637">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至少1次/季度</w:t>
                  </w:r>
                </w:p>
              </w:tc>
              <w:tc>
                <w:tcPr>
                  <w:tcW w:w="1985" w:type="dxa"/>
                  <w:tcBorders>
                    <w:top w:val="single" w:color="000000" w:sz="4" w:space="0"/>
                    <w:left w:val="single" w:color="auto" w:sz="4" w:space="0"/>
                    <w:bottom w:val="single" w:color="000000" w:sz="4" w:space="0"/>
                    <w:right w:val="single" w:color="000000" w:sz="4" w:space="0"/>
                  </w:tcBorders>
                  <w:vAlign w:val="center"/>
                </w:tcPr>
                <w:p w14:paraId="75E6A316">
                  <w:pPr>
                    <w:widowControl/>
                    <w:jc w:val="left"/>
                    <w:textAlignment w:val="center"/>
                    <w:rPr>
                      <w:rFonts w:ascii="宋体" w:hAnsi="宋体" w:eastAsia="宋体" w:cs="宋体"/>
                      <w:szCs w:val="21"/>
                    </w:rPr>
                  </w:pPr>
                  <w:r>
                    <w:rPr>
                      <w:rFonts w:hint="eastAsia" w:ascii="宋体" w:hAnsi="宋体" w:eastAsia="宋体" w:cs="宋体"/>
                      <w:szCs w:val="21"/>
                    </w:rPr>
                    <w:t>输出详细的渗透测试报告，明确整改的措施和修复验证，报告需盖章</w:t>
                  </w:r>
                </w:p>
              </w:tc>
            </w:tr>
            <w:tr w14:paraId="75AA06DB">
              <w:tblPrEx>
                <w:tblCellMar>
                  <w:top w:w="0" w:type="dxa"/>
                  <w:left w:w="108" w:type="dxa"/>
                  <w:bottom w:w="0" w:type="dxa"/>
                  <w:right w:w="108" w:type="dxa"/>
                </w:tblCellMar>
              </w:tblPrEx>
              <w:trPr>
                <w:trHeight w:val="3099"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4D1FF017">
                  <w:pPr>
                    <w:widowControl/>
                    <w:jc w:val="center"/>
                    <w:textAlignment w:val="center"/>
                    <w:rPr>
                      <w:rFonts w:ascii="宋体" w:hAnsi="宋体" w:eastAsia="宋体" w:cs="宋体"/>
                      <w:szCs w:val="21"/>
                    </w:rPr>
                  </w:pPr>
                  <w:r>
                    <w:rPr>
                      <w:rFonts w:hint="eastAsia" w:ascii="宋体" w:hAnsi="宋体" w:eastAsia="宋体" w:cs="宋体"/>
                      <w:kern w:val="0"/>
                      <w:szCs w:val="21"/>
                      <w:lang w:bidi="ar"/>
                    </w:rPr>
                    <w:t>7</w:t>
                  </w:r>
                </w:p>
              </w:tc>
              <w:tc>
                <w:tcPr>
                  <w:tcW w:w="1049" w:type="dxa"/>
                  <w:tcBorders>
                    <w:top w:val="single" w:color="000000" w:sz="4" w:space="0"/>
                    <w:left w:val="single" w:color="000000" w:sz="4" w:space="0"/>
                    <w:bottom w:val="single" w:color="000000" w:sz="4" w:space="0"/>
                    <w:right w:val="single" w:color="000000" w:sz="4" w:space="0"/>
                  </w:tcBorders>
                  <w:vAlign w:val="center"/>
                </w:tcPr>
                <w:p w14:paraId="5D4A8602">
                  <w:pPr>
                    <w:widowControl/>
                    <w:jc w:val="left"/>
                    <w:textAlignment w:val="center"/>
                    <w:rPr>
                      <w:rFonts w:ascii="宋体" w:hAnsi="宋体" w:eastAsia="宋体" w:cs="宋体"/>
                      <w:szCs w:val="21"/>
                    </w:rPr>
                  </w:pPr>
                  <w:r>
                    <w:rPr>
                      <w:rFonts w:hint="eastAsia" w:ascii="宋体" w:hAnsi="宋体" w:eastAsia="宋体" w:cs="宋体"/>
                      <w:kern w:val="0"/>
                      <w:szCs w:val="21"/>
                      <w:lang w:bidi="ar"/>
                    </w:rPr>
                    <w:t>上线检测</w:t>
                  </w:r>
                </w:p>
              </w:tc>
              <w:tc>
                <w:tcPr>
                  <w:tcW w:w="4013" w:type="dxa"/>
                  <w:tcBorders>
                    <w:top w:val="single" w:color="000000" w:sz="4" w:space="0"/>
                    <w:left w:val="single" w:color="000000" w:sz="4" w:space="0"/>
                    <w:bottom w:val="single" w:color="000000" w:sz="4" w:space="0"/>
                    <w:right w:val="single" w:color="000000" w:sz="4" w:space="0"/>
                  </w:tcBorders>
                  <w:vAlign w:val="center"/>
                </w:tcPr>
                <w:p w14:paraId="0F03EAE6">
                  <w:pPr>
                    <w:widowControl/>
                    <w:jc w:val="left"/>
                    <w:textAlignment w:val="center"/>
                    <w:rPr>
                      <w:rFonts w:ascii="宋体" w:hAnsi="宋体" w:eastAsia="宋体" w:cs="宋体"/>
                      <w:szCs w:val="21"/>
                    </w:rPr>
                  </w:pPr>
                  <w:r>
                    <w:rPr>
                      <w:rFonts w:hint="eastAsia" w:ascii="宋体" w:hAnsi="宋体" w:eastAsia="宋体" w:cs="宋体"/>
                      <w:kern w:val="0"/>
                      <w:szCs w:val="21"/>
                      <w:lang w:bidi="ar"/>
                    </w:rPr>
                    <w:t>系统上线前进行脆弱性评估：通过web扫描，漏洞扫描、基线检查、漏洞验证等手段，识别业务系统安全脆弱性风险。防御能力评估：通过模拟黑客进行信息收集、应用及系统入侵，验证防御体系的安全防御能力。安全整改建议：基于安全评估结果分析系统安全风险和威胁，给出针对性的风险处理方案。协助制定规范的基线工作，包括建立安全基线、人工/自动化检测、配置修改与基线检查报告。</w:t>
                  </w:r>
                </w:p>
              </w:tc>
              <w:tc>
                <w:tcPr>
                  <w:tcW w:w="850" w:type="dxa"/>
                  <w:tcBorders>
                    <w:top w:val="single" w:color="000000" w:sz="4" w:space="0"/>
                    <w:left w:val="single" w:color="000000" w:sz="4" w:space="0"/>
                    <w:bottom w:val="single" w:color="000000" w:sz="4" w:space="0"/>
                    <w:right w:val="single" w:color="auto" w:sz="4" w:space="0"/>
                  </w:tcBorders>
                  <w:vAlign w:val="center"/>
                </w:tcPr>
                <w:p w14:paraId="245729CF">
                  <w:pPr>
                    <w:widowControl/>
                    <w:jc w:val="center"/>
                    <w:textAlignment w:val="center"/>
                    <w:rPr>
                      <w:rFonts w:ascii="宋体" w:hAnsi="宋体" w:eastAsia="宋体" w:cs="宋体"/>
                      <w:szCs w:val="21"/>
                    </w:rPr>
                  </w:pPr>
                  <w:r>
                    <w:rPr>
                      <w:rFonts w:hint="eastAsia" w:ascii="宋体" w:hAnsi="宋体" w:eastAsia="宋体" w:cs="宋体"/>
                      <w:kern w:val="0"/>
                      <w:szCs w:val="21"/>
                      <w:lang w:bidi="ar"/>
                    </w:rPr>
                    <w:t>按需</w:t>
                  </w:r>
                </w:p>
              </w:tc>
              <w:tc>
                <w:tcPr>
                  <w:tcW w:w="1985" w:type="dxa"/>
                  <w:tcBorders>
                    <w:top w:val="single" w:color="000000" w:sz="4" w:space="0"/>
                    <w:left w:val="single" w:color="auto" w:sz="4" w:space="0"/>
                    <w:bottom w:val="single" w:color="000000" w:sz="4" w:space="0"/>
                    <w:right w:val="single" w:color="000000" w:sz="4" w:space="0"/>
                  </w:tcBorders>
                  <w:vAlign w:val="center"/>
                </w:tcPr>
                <w:p w14:paraId="3EEBC324">
                  <w:pPr>
                    <w:widowControl/>
                    <w:jc w:val="left"/>
                    <w:textAlignment w:val="center"/>
                    <w:rPr>
                      <w:rFonts w:ascii="宋体" w:hAnsi="宋体" w:eastAsia="宋体" w:cs="宋体"/>
                      <w:szCs w:val="21"/>
                    </w:rPr>
                  </w:pPr>
                  <w:r>
                    <w:rPr>
                      <w:rFonts w:hint="eastAsia" w:ascii="宋体" w:hAnsi="宋体" w:eastAsia="宋体" w:cs="宋体"/>
                      <w:szCs w:val="21"/>
                    </w:rPr>
                    <w:t>输出各应用系统上线检测报告，检测内容包含已上线的系统以及计划上线的系统，并出具整改建议</w:t>
                  </w:r>
                </w:p>
              </w:tc>
            </w:tr>
            <w:tr w14:paraId="65AB2004">
              <w:tblPrEx>
                <w:tblCellMar>
                  <w:top w:w="0" w:type="dxa"/>
                  <w:left w:w="108" w:type="dxa"/>
                  <w:bottom w:w="0" w:type="dxa"/>
                  <w:right w:w="108" w:type="dxa"/>
                </w:tblCellMar>
              </w:tblPrEx>
              <w:trPr>
                <w:trHeight w:val="1246"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16D5E40A">
                  <w:pPr>
                    <w:widowControl/>
                    <w:jc w:val="center"/>
                    <w:textAlignment w:val="center"/>
                    <w:rPr>
                      <w:rFonts w:ascii="宋体" w:hAnsi="宋体" w:eastAsia="宋体" w:cs="宋体"/>
                      <w:szCs w:val="21"/>
                    </w:rPr>
                  </w:pPr>
                  <w:r>
                    <w:rPr>
                      <w:rFonts w:hint="eastAsia" w:ascii="宋体" w:hAnsi="宋体" w:eastAsia="宋体" w:cs="宋体"/>
                      <w:kern w:val="0"/>
                      <w:szCs w:val="21"/>
                      <w:lang w:bidi="ar"/>
                    </w:rPr>
                    <w:t>8</w:t>
                  </w:r>
                </w:p>
              </w:tc>
              <w:tc>
                <w:tcPr>
                  <w:tcW w:w="1049" w:type="dxa"/>
                  <w:tcBorders>
                    <w:top w:val="single" w:color="000000" w:sz="4" w:space="0"/>
                    <w:left w:val="single" w:color="000000" w:sz="4" w:space="0"/>
                    <w:bottom w:val="single" w:color="000000" w:sz="4" w:space="0"/>
                    <w:right w:val="single" w:color="000000" w:sz="4" w:space="0"/>
                  </w:tcBorders>
                  <w:vAlign w:val="center"/>
                </w:tcPr>
                <w:p w14:paraId="269A1D70">
                  <w:pPr>
                    <w:widowControl/>
                    <w:jc w:val="left"/>
                    <w:textAlignment w:val="center"/>
                    <w:rPr>
                      <w:rFonts w:ascii="宋体" w:hAnsi="宋体" w:eastAsia="宋体" w:cs="宋体"/>
                      <w:szCs w:val="21"/>
                    </w:rPr>
                  </w:pPr>
                  <w:r>
                    <w:rPr>
                      <w:rFonts w:hint="eastAsia" w:ascii="宋体" w:hAnsi="宋体" w:eastAsia="宋体" w:cs="宋体"/>
                      <w:kern w:val="0"/>
                      <w:szCs w:val="21"/>
                      <w:lang w:bidi="ar"/>
                    </w:rPr>
                    <w:t>网络安全制度修订</w:t>
                  </w:r>
                </w:p>
              </w:tc>
              <w:tc>
                <w:tcPr>
                  <w:tcW w:w="4013" w:type="dxa"/>
                  <w:tcBorders>
                    <w:top w:val="single" w:color="000000" w:sz="4" w:space="0"/>
                    <w:left w:val="single" w:color="000000" w:sz="4" w:space="0"/>
                    <w:bottom w:val="single" w:color="000000" w:sz="4" w:space="0"/>
                    <w:right w:val="single" w:color="000000" w:sz="4" w:space="0"/>
                  </w:tcBorders>
                  <w:vAlign w:val="center"/>
                </w:tcPr>
                <w:p w14:paraId="0168284F">
                  <w:pPr>
                    <w:widowControl/>
                    <w:jc w:val="left"/>
                    <w:textAlignment w:val="center"/>
                    <w:rPr>
                      <w:rFonts w:ascii="宋体" w:hAnsi="宋体" w:eastAsia="宋体" w:cs="宋体"/>
                      <w:szCs w:val="21"/>
                    </w:rPr>
                  </w:pPr>
                  <w:r>
                    <w:rPr>
                      <w:rFonts w:hint="eastAsia" w:ascii="宋体" w:hAnsi="宋体" w:eastAsia="宋体" w:cs="宋体"/>
                      <w:kern w:val="0"/>
                      <w:szCs w:val="21"/>
                      <w:lang w:bidi="ar"/>
                    </w:rPr>
                    <w:t>根据上级监管单位的网络安全要求，调研目前的网络安全管理现状，审阅的网络与信息安全总体策略、规范、手册等制度文档后开展安全管理制度的编写及修订工作，输出编制和修订的制度、流程规范和手册。协助用户明确网络安全负责科室及其他各科室网络安全责任，形成可行有效的整体网络安全管理制度。</w:t>
                  </w:r>
                </w:p>
              </w:tc>
              <w:tc>
                <w:tcPr>
                  <w:tcW w:w="850" w:type="dxa"/>
                  <w:tcBorders>
                    <w:top w:val="single" w:color="000000" w:sz="4" w:space="0"/>
                    <w:left w:val="single" w:color="000000" w:sz="4" w:space="0"/>
                    <w:bottom w:val="single" w:color="000000" w:sz="4" w:space="0"/>
                    <w:right w:val="single" w:color="auto" w:sz="4" w:space="0"/>
                  </w:tcBorders>
                  <w:vAlign w:val="center"/>
                </w:tcPr>
                <w:p w14:paraId="13DF1147">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至少1次/年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6FA69B92">
                  <w:pPr>
                    <w:widowControl/>
                    <w:jc w:val="left"/>
                    <w:textAlignment w:val="center"/>
                    <w:rPr>
                      <w:rFonts w:ascii="宋体" w:hAnsi="宋体" w:eastAsia="宋体" w:cs="宋体"/>
                      <w:szCs w:val="21"/>
                    </w:rPr>
                  </w:pPr>
                  <w:r>
                    <w:rPr>
                      <w:rFonts w:hint="eastAsia" w:ascii="宋体" w:hAnsi="宋体" w:eastAsia="宋体" w:cs="宋体"/>
                      <w:szCs w:val="21"/>
                    </w:rPr>
                    <w:t>输出详细的</w:t>
                  </w:r>
                  <w:r>
                    <w:rPr>
                      <w:rFonts w:hint="eastAsia"/>
                    </w:rPr>
                    <w:t>网络安全管理制度汇编</w:t>
                  </w:r>
                </w:p>
              </w:tc>
            </w:tr>
            <w:tr w14:paraId="6CC66B1C">
              <w:tblPrEx>
                <w:tblCellMar>
                  <w:top w:w="0" w:type="dxa"/>
                  <w:left w:w="108" w:type="dxa"/>
                  <w:bottom w:w="0" w:type="dxa"/>
                  <w:right w:w="108" w:type="dxa"/>
                </w:tblCellMar>
              </w:tblPrEx>
              <w:trPr>
                <w:trHeight w:val="1864"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70F8384E">
                  <w:pPr>
                    <w:widowControl/>
                    <w:jc w:val="center"/>
                    <w:textAlignment w:val="center"/>
                    <w:rPr>
                      <w:rFonts w:ascii="宋体" w:hAnsi="宋体" w:eastAsia="宋体" w:cs="宋体"/>
                      <w:szCs w:val="21"/>
                    </w:rPr>
                  </w:pPr>
                  <w:r>
                    <w:rPr>
                      <w:rFonts w:hint="eastAsia" w:ascii="宋体" w:hAnsi="宋体" w:eastAsia="宋体" w:cs="宋体"/>
                      <w:kern w:val="0"/>
                      <w:szCs w:val="21"/>
                      <w:lang w:bidi="ar"/>
                    </w:rPr>
                    <w:t>9</w:t>
                  </w:r>
                </w:p>
              </w:tc>
              <w:tc>
                <w:tcPr>
                  <w:tcW w:w="1049" w:type="dxa"/>
                  <w:tcBorders>
                    <w:top w:val="single" w:color="000000" w:sz="4" w:space="0"/>
                    <w:left w:val="single" w:color="000000" w:sz="4" w:space="0"/>
                    <w:bottom w:val="single" w:color="000000" w:sz="4" w:space="0"/>
                    <w:right w:val="single" w:color="000000" w:sz="4" w:space="0"/>
                  </w:tcBorders>
                  <w:vAlign w:val="center"/>
                </w:tcPr>
                <w:p w14:paraId="7D94F607">
                  <w:pPr>
                    <w:widowControl/>
                    <w:jc w:val="left"/>
                    <w:textAlignment w:val="center"/>
                    <w:rPr>
                      <w:rFonts w:ascii="宋体" w:hAnsi="宋体" w:eastAsia="宋体" w:cs="宋体"/>
                      <w:szCs w:val="21"/>
                    </w:rPr>
                  </w:pPr>
                  <w:r>
                    <w:rPr>
                      <w:rFonts w:hint="eastAsia" w:ascii="宋体" w:hAnsi="宋体" w:eastAsia="宋体" w:cs="宋体"/>
                      <w:kern w:val="0"/>
                      <w:szCs w:val="21"/>
                      <w:lang w:bidi="ar"/>
                    </w:rPr>
                    <w:t>应急演练</w:t>
                  </w:r>
                </w:p>
              </w:tc>
              <w:tc>
                <w:tcPr>
                  <w:tcW w:w="4013" w:type="dxa"/>
                  <w:tcBorders>
                    <w:top w:val="single" w:color="000000" w:sz="4" w:space="0"/>
                    <w:left w:val="single" w:color="000000" w:sz="4" w:space="0"/>
                    <w:bottom w:val="single" w:color="000000" w:sz="4" w:space="0"/>
                    <w:right w:val="single" w:color="000000" w:sz="4" w:space="0"/>
                  </w:tcBorders>
                  <w:vAlign w:val="center"/>
                </w:tcPr>
                <w:p w14:paraId="56AF67BF">
                  <w:pPr>
                    <w:widowControl/>
                    <w:jc w:val="left"/>
                    <w:textAlignment w:val="center"/>
                    <w:rPr>
                      <w:rFonts w:ascii="宋体" w:hAnsi="宋体" w:eastAsia="宋体" w:cs="宋体"/>
                      <w:szCs w:val="21"/>
                    </w:rPr>
                  </w:pPr>
                  <w:r>
                    <w:rPr>
                      <w:rFonts w:hint="eastAsia" w:ascii="宋体" w:hAnsi="宋体" w:eastAsia="宋体" w:cs="宋体"/>
                      <w:kern w:val="0"/>
                      <w:szCs w:val="21"/>
                      <w:lang w:bidi="ar"/>
                    </w:rPr>
                    <w:t>协助完善安全应急响应机制，完善安全应急响应预案，并根据医院的实际情况，提供安全应急事件演练方案并协助完成演练。场景可以为但不限于以下内容：网站篡改演练、内网传播型病毒攻击演练、模拟网络单点故障等。</w:t>
                  </w:r>
                </w:p>
              </w:tc>
              <w:tc>
                <w:tcPr>
                  <w:tcW w:w="850" w:type="dxa"/>
                  <w:tcBorders>
                    <w:top w:val="single" w:color="000000" w:sz="4" w:space="0"/>
                    <w:left w:val="single" w:color="000000" w:sz="4" w:space="0"/>
                    <w:bottom w:val="single" w:color="000000" w:sz="4" w:space="0"/>
                    <w:right w:val="single" w:color="auto" w:sz="4" w:space="0"/>
                  </w:tcBorders>
                  <w:vAlign w:val="center"/>
                </w:tcPr>
                <w:p w14:paraId="222BF84F">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至少1次/年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0BE1B416">
                  <w:pPr>
                    <w:widowControl/>
                    <w:jc w:val="left"/>
                    <w:textAlignment w:val="center"/>
                    <w:rPr>
                      <w:rFonts w:ascii="宋体" w:hAnsi="宋体" w:eastAsia="宋体" w:cs="宋体"/>
                      <w:szCs w:val="21"/>
                    </w:rPr>
                  </w:pPr>
                  <w:r>
                    <w:rPr>
                      <w:rFonts w:hint="eastAsia" w:ascii="宋体" w:hAnsi="宋体" w:eastAsia="宋体" w:cs="宋体"/>
                      <w:szCs w:val="21"/>
                    </w:rPr>
                    <w:t>输出应急预案、应急演练等配套文档</w:t>
                  </w:r>
                </w:p>
              </w:tc>
            </w:tr>
            <w:tr w14:paraId="105AEB36">
              <w:tblPrEx>
                <w:tblCellMar>
                  <w:top w:w="0" w:type="dxa"/>
                  <w:left w:w="108" w:type="dxa"/>
                  <w:bottom w:w="0" w:type="dxa"/>
                  <w:right w:w="108" w:type="dxa"/>
                </w:tblCellMar>
              </w:tblPrEx>
              <w:trPr>
                <w:trHeight w:val="1864"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648B890D">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10</w:t>
                  </w:r>
                </w:p>
              </w:tc>
              <w:tc>
                <w:tcPr>
                  <w:tcW w:w="1049" w:type="dxa"/>
                  <w:tcBorders>
                    <w:top w:val="single" w:color="000000" w:sz="4" w:space="0"/>
                    <w:left w:val="single" w:color="000000" w:sz="4" w:space="0"/>
                    <w:bottom w:val="single" w:color="000000" w:sz="4" w:space="0"/>
                    <w:right w:val="single" w:color="000000" w:sz="4" w:space="0"/>
                  </w:tcBorders>
                  <w:vAlign w:val="center"/>
                </w:tcPr>
                <w:p w14:paraId="635F064D">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实战隐患排查</w:t>
                  </w:r>
                </w:p>
              </w:tc>
              <w:tc>
                <w:tcPr>
                  <w:tcW w:w="4013" w:type="dxa"/>
                  <w:tcBorders>
                    <w:top w:val="single" w:color="000000" w:sz="4" w:space="0"/>
                    <w:left w:val="single" w:color="000000" w:sz="4" w:space="0"/>
                    <w:bottom w:val="single" w:color="000000" w:sz="4" w:space="0"/>
                    <w:right w:val="single" w:color="000000" w:sz="4" w:space="0"/>
                  </w:tcBorders>
                  <w:vAlign w:val="center"/>
                </w:tcPr>
                <w:p w14:paraId="0F215BA7">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由具备实战对抗经验的安全专家采用当前主流红队技术手段从攻击者视角对医院开展实战化隐患排查，手段包括但不限于AI打点、内网横向移动等。对发现的隐患问题进行整改。</w:t>
                  </w:r>
                </w:p>
              </w:tc>
              <w:tc>
                <w:tcPr>
                  <w:tcW w:w="850" w:type="dxa"/>
                  <w:tcBorders>
                    <w:top w:val="single" w:color="000000" w:sz="4" w:space="0"/>
                    <w:left w:val="single" w:color="000000" w:sz="4" w:space="0"/>
                    <w:bottom w:val="single" w:color="000000" w:sz="4" w:space="0"/>
                    <w:right w:val="single" w:color="auto" w:sz="4" w:space="0"/>
                  </w:tcBorders>
                  <w:vAlign w:val="center"/>
                </w:tcPr>
                <w:p w14:paraId="62C76A65">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至少1次/年</w:t>
                  </w:r>
                </w:p>
              </w:tc>
              <w:tc>
                <w:tcPr>
                  <w:tcW w:w="1985" w:type="dxa"/>
                  <w:tcBorders>
                    <w:top w:val="single" w:color="000000" w:sz="4" w:space="0"/>
                    <w:left w:val="single" w:color="auto" w:sz="4" w:space="0"/>
                    <w:bottom w:val="single" w:color="000000" w:sz="4" w:space="0"/>
                    <w:right w:val="single" w:color="000000" w:sz="4" w:space="0"/>
                  </w:tcBorders>
                  <w:vAlign w:val="center"/>
                </w:tcPr>
                <w:p w14:paraId="591593D9">
                  <w:pPr>
                    <w:widowControl/>
                    <w:jc w:val="left"/>
                    <w:textAlignment w:val="center"/>
                    <w:rPr>
                      <w:rFonts w:ascii="宋体" w:hAnsi="宋体" w:eastAsia="宋体" w:cs="宋体"/>
                      <w:szCs w:val="21"/>
                    </w:rPr>
                  </w:pPr>
                  <w:r>
                    <w:rPr>
                      <w:rFonts w:hint="eastAsia" w:ascii="宋体" w:hAnsi="宋体" w:eastAsia="宋体" w:cs="宋体"/>
                      <w:szCs w:val="21"/>
                    </w:rPr>
                    <w:t>输出详细的实战隐患排查报告</w:t>
                  </w:r>
                </w:p>
              </w:tc>
            </w:tr>
            <w:tr w14:paraId="53A0CEB8">
              <w:tblPrEx>
                <w:tblCellMar>
                  <w:top w:w="0" w:type="dxa"/>
                  <w:left w:w="108" w:type="dxa"/>
                  <w:bottom w:w="0" w:type="dxa"/>
                  <w:right w:w="108" w:type="dxa"/>
                </w:tblCellMar>
              </w:tblPrEx>
              <w:trPr>
                <w:trHeight w:val="1864" w:hRule="atLeast"/>
              </w:trPr>
              <w:tc>
                <w:tcPr>
                  <w:tcW w:w="462" w:type="dxa"/>
                  <w:tcBorders>
                    <w:top w:val="single" w:color="000000" w:sz="4" w:space="0"/>
                    <w:left w:val="single" w:color="000000" w:sz="4" w:space="0"/>
                    <w:bottom w:val="single" w:color="000000" w:sz="4" w:space="0"/>
                    <w:right w:val="single" w:color="000000" w:sz="4" w:space="0"/>
                  </w:tcBorders>
                  <w:vAlign w:val="center"/>
                </w:tcPr>
                <w:p w14:paraId="1307F714">
                  <w:pPr>
                    <w:widowControl/>
                    <w:jc w:val="center"/>
                    <w:textAlignment w:val="center"/>
                    <w:rPr>
                      <w:rFonts w:ascii="宋体" w:hAnsi="宋体" w:eastAsia="宋体" w:cs="宋体"/>
                      <w:szCs w:val="21"/>
                    </w:rPr>
                  </w:pPr>
                  <w:r>
                    <w:rPr>
                      <w:rFonts w:hint="eastAsia" w:ascii="宋体" w:hAnsi="宋体" w:eastAsia="宋体" w:cs="宋体"/>
                      <w:kern w:val="0"/>
                      <w:szCs w:val="21"/>
                      <w:lang w:bidi="ar"/>
                    </w:rPr>
                    <w:t>11</w:t>
                  </w:r>
                </w:p>
              </w:tc>
              <w:tc>
                <w:tcPr>
                  <w:tcW w:w="1049" w:type="dxa"/>
                  <w:tcBorders>
                    <w:top w:val="single" w:color="000000" w:sz="4" w:space="0"/>
                    <w:left w:val="single" w:color="000000" w:sz="4" w:space="0"/>
                    <w:bottom w:val="single" w:color="000000" w:sz="4" w:space="0"/>
                    <w:right w:val="single" w:color="000000" w:sz="4" w:space="0"/>
                  </w:tcBorders>
                  <w:vAlign w:val="center"/>
                </w:tcPr>
                <w:p w14:paraId="339E6EF1">
                  <w:pPr>
                    <w:widowControl/>
                    <w:jc w:val="left"/>
                    <w:textAlignment w:val="center"/>
                    <w:rPr>
                      <w:rFonts w:ascii="宋体" w:hAnsi="宋体" w:eastAsia="宋体" w:cs="宋体"/>
                      <w:szCs w:val="21"/>
                    </w:rPr>
                  </w:pPr>
                  <w:r>
                    <w:rPr>
                      <w:rFonts w:hint="eastAsia" w:ascii="宋体" w:hAnsi="宋体" w:eastAsia="宋体" w:cs="宋体"/>
                      <w:kern w:val="0"/>
                      <w:szCs w:val="21"/>
                      <w:lang w:bidi="ar"/>
                    </w:rPr>
                    <w:t>安全流程督导</w:t>
                  </w:r>
                </w:p>
              </w:tc>
              <w:tc>
                <w:tcPr>
                  <w:tcW w:w="4013" w:type="dxa"/>
                  <w:tcBorders>
                    <w:top w:val="single" w:color="000000" w:sz="4" w:space="0"/>
                    <w:left w:val="single" w:color="000000" w:sz="4" w:space="0"/>
                    <w:bottom w:val="single" w:color="000000" w:sz="4" w:space="0"/>
                    <w:right w:val="single" w:color="000000" w:sz="4" w:space="0"/>
                  </w:tcBorders>
                  <w:vAlign w:val="center"/>
                </w:tcPr>
                <w:p w14:paraId="6012E1A0">
                  <w:pPr>
                    <w:widowControl/>
                    <w:jc w:val="left"/>
                    <w:textAlignment w:val="center"/>
                    <w:rPr>
                      <w:rFonts w:ascii="宋体" w:hAnsi="宋体" w:eastAsia="宋体" w:cs="宋体"/>
                      <w:szCs w:val="21"/>
                    </w:rPr>
                  </w:pPr>
                  <w:r>
                    <w:rPr>
                      <w:rFonts w:hint="eastAsia" w:ascii="宋体" w:hAnsi="宋体" w:eastAsia="宋体" w:cs="宋体"/>
                      <w:kern w:val="0"/>
                      <w:szCs w:val="21"/>
                      <w:lang w:bidi="ar"/>
                    </w:rPr>
                    <w:t>协助医院针对不同科室、不同岗位建立安全管理制度，配合医院制度落地。排查医院存在网络安全管理漏洞(如内部安全问题），并出具整改意见，协助医院整改。从而完善了医院安全制度落地过程的闭环工作。</w:t>
                  </w:r>
                </w:p>
              </w:tc>
              <w:tc>
                <w:tcPr>
                  <w:tcW w:w="850" w:type="dxa"/>
                  <w:tcBorders>
                    <w:top w:val="single" w:color="000000" w:sz="4" w:space="0"/>
                    <w:left w:val="single" w:color="000000" w:sz="4" w:space="0"/>
                    <w:bottom w:val="single" w:color="000000" w:sz="4" w:space="0"/>
                    <w:right w:val="single" w:color="auto" w:sz="4" w:space="0"/>
                  </w:tcBorders>
                  <w:vAlign w:val="center"/>
                </w:tcPr>
                <w:p w14:paraId="4F669B4E">
                  <w:pPr>
                    <w:widowControl/>
                    <w:jc w:val="center"/>
                    <w:textAlignment w:val="center"/>
                    <w:rPr>
                      <w:rFonts w:ascii="宋体" w:hAnsi="宋体" w:eastAsia="宋体" w:cs="宋体"/>
                      <w:szCs w:val="21"/>
                    </w:rPr>
                  </w:pPr>
                  <w:r>
                    <w:rPr>
                      <w:rFonts w:hint="eastAsia" w:ascii="宋体" w:hAnsi="宋体" w:eastAsia="宋体" w:cs="宋体"/>
                      <w:kern w:val="0"/>
                      <w:szCs w:val="21"/>
                      <w:lang w:bidi="ar"/>
                    </w:rPr>
                    <w:t>持续工作</w:t>
                  </w:r>
                </w:p>
              </w:tc>
              <w:tc>
                <w:tcPr>
                  <w:tcW w:w="1985" w:type="dxa"/>
                  <w:tcBorders>
                    <w:top w:val="single" w:color="000000" w:sz="4" w:space="0"/>
                    <w:left w:val="single" w:color="auto" w:sz="4" w:space="0"/>
                    <w:bottom w:val="single" w:color="000000" w:sz="4" w:space="0"/>
                    <w:right w:val="single" w:color="000000" w:sz="4" w:space="0"/>
                  </w:tcBorders>
                  <w:vAlign w:val="center"/>
                </w:tcPr>
                <w:p w14:paraId="2E60D38F">
                  <w:pPr>
                    <w:widowControl/>
                    <w:jc w:val="left"/>
                    <w:textAlignment w:val="center"/>
                    <w:rPr>
                      <w:rFonts w:ascii="宋体" w:hAnsi="宋体" w:eastAsia="宋体" w:cs="宋体"/>
                      <w:szCs w:val="21"/>
                    </w:rPr>
                  </w:pPr>
                  <w:r>
                    <w:rPr>
                      <w:rFonts w:hint="eastAsia" w:ascii="宋体" w:hAnsi="宋体" w:eastAsia="宋体" w:cs="宋体"/>
                      <w:szCs w:val="21"/>
                    </w:rPr>
                    <w:t>根据医院网络安全管理制度，落实相关管理要求。要求输出各种管理和执行表格。</w:t>
                  </w:r>
                </w:p>
              </w:tc>
            </w:tr>
            <w:tr w14:paraId="58D217BC">
              <w:tblPrEx>
                <w:tblCellMar>
                  <w:top w:w="0" w:type="dxa"/>
                  <w:left w:w="108" w:type="dxa"/>
                  <w:bottom w:w="0" w:type="dxa"/>
                  <w:right w:w="108" w:type="dxa"/>
                </w:tblCellMar>
              </w:tblPrEx>
              <w:trPr>
                <w:trHeight w:val="2481" w:hRule="atLeast"/>
              </w:trPr>
              <w:tc>
                <w:tcPr>
                  <w:tcW w:w="462" w:type="dxa"/>
                  <w:tcBorders>
                    <w:top w:val="single" w:color="000000" w:sz="4" w:space="0"/>
                    <w:left w:val="single" w:color="000000" w:sz="4" w:space="0"/>
                    <w:bottom w:val="single" w:color="auto" w:sz="4" w:space="0"/>
                    <w:right w:val="single" w:color="000000" w:sz="4" w:space="0"/>
                  </w:tcBorders>
                  <w:vAlign w:val="center"/>
                </w:tcPr>
                <w:p w14:paraId="5B274468">
                  <w:pPr>
                    <w:widowControl/>
                    <w:jc w:val="center"/>
                    <w:textAlignment w:val="center"/>
                    <w:rPr>
                      <w:rFonts w:ascii="宋体" w:hAnsi="宋体" w:eastAsia="宋体" w:cs="宋体"/>
                      <w:szCs w:val="21"/>
                    </w:rPr>
                  </w:pPr>
                  <w:r>
                    <w:rPr>
                      <w:rFonts w:hint="eastAsia" w:ascii="宋体" w:hAnsi="宋体" w:eastAsia="宋体" w:cs="宋体"/>
                      <w:kern w:val="0"/>
                      <w:szCs w:val="21"/>
                      <w:lang w:bidi="ar"/>
                    </w:rPr>
                    <w:t>12</w:t>
                  </w:r>
                </w:p>
              </w:tc>
              <w:tc>
                <w:tcPr>
                  <w:tcW w:w="1049" w:type="dxa"/>
                  <w:tcBorders>
                    <w:top w:val="single" w:color="000000" w:sz="4" w:space="0"/>
                    <w:left w:val="single" w:color="000000" w:sz="4" w:space="0"/>
                    <w:bottom w:val="single" w:color="auto" w:sz="4" w:space="0"/>
                    <w:right w:val="single" w:color="000000" w:sz="4" w:space="0"/>
                  </w:tcBorders>
                  <w:vAlign w:val="center"/>
                </w:tcPr>
                <w:p w14:paraId="0C782246">
                  <w:pPr>
                    <w:widowControl/>
                    <w:jc w:val="left"/>
                    <w:textAlignment w:val="center"/>
                    <w:rPr>
                      <w:rFonts w:ascii="宋体" w:hAnsi="宋体" w:eastAsia="宋体" w:cs="宋体"/>
                      <w:szCs w:val="21"/>
                    </w:rPr>
                  </w:pPr>
                  <w:r>
                    <w:rPr>
                      <w:rFonts w:hint="eastAsia" w:ascii="宋体" w:hAnsi="宋体" w:eastAsia="宋体" w:cs="宋体"/>
                      <w:kern w:val="0"/>
                      <w:szCs w:val="21"/>
                      <w:lang w:bidi="ar"/>
                    </w:rPr>
                    <w:t>安全培训及宣传</w:t>
                  </w:r>
                </w:p>
              </w:tc>
              <w:tc>
                <w:tcPr>
                  <w:tcW w:w="4013" w:type="dxa"/>
                  <w:tcBorders>
                    <w:top w:val="single" w:color="000000" w:sz="4" w:space="0"/>
                    <w:left w:val="single" w:color="000000" w:sz="4" w:space="0"/>
                    <w:bottom w:val="single" w:color="auto" w:sz="4" w:space="0"/>
                    <w:right w:val="single" w:color="000000" w:sz="4" w:space="0"/>
                  </w:tcBorders>
                  <w:vAlign w:val="center"/>
                </w:tcPr>
                <w:p w14:paraId="77C79EC2">
                  <w:pPr>
                    <w:widowControl/>
                    <w:jc w:val="left"/>
                    <w:textAlignment w:val="center"/>
                    <w:rPr>
                      <w:rFonts w:ascii="宋体" w:hAnsi="宋体" w:eastAsia="宋体" w:cs="宋体"/>
                      <w:szCs w:val="21"/>
                    </w:rPr>
                  </w:pPr>
                  <w:r>
                    <w:rPr>
                      <w:rFonts w:hint="eastAsia" w:ascii="宋体" w:hAnsi="宋体" w:eastAsia="宋体" w:cs="宋体"/>
                      <w:kern w:val="0"/>
                      <w:szCs w:val="21"/>
                      <w:lang w:bidi="ar"/>
                    </w:rPr>
                    <w:t>通过引用当前典型的安全事件，定期开展网络安全、数据安全、个人信息保护等专题宣传活动，宣传内容包括：网络及网络安全法律法规、员工安全意识、网络安全制度、数据安全、个人信息保护。提升全院人员网络安全意识和减少安全风险。通过但不限于集中培训、线上培训以及发放宣传手册等方式。</w:t>
                  </w:r>
                </w:p>
              </w:tc>
              <w:tc>
                <w:tcPr>
                  <w:tcW w:w="850" w:type="dxa"/>
                  <w:tcBorders>
                    <w:top w:val="single" w:color="000000" w:sz="4" w:space="0"/>
                    <w:left w:val="single" w:color="000000" w:sz="4" w:space="0"/>
                    <w:bottom w:val="single" w:color="auto" w:sz="4" w:space="0"/>
                    <w:right w:val="single" w:color="auto" w:sz="4" w:space="0"/>
                  </w:tcBorders>
                  <w:vAlign w:val="center"/>
                </w:tcPr>
                <w:p w14:paraId="402275AF">
                  <w:pPr>
                    <w:widowControl/>
                    <w:jc w:val="center"/>
                    <w:textAlignment w:val="center"/>
                    <w:rPr>
                      <w:rFonts w:ascii="宋体" w:hAnsi="宋体" w:eastAsia="宋体" w:cs="宋体"/>
                      <w:szCs w:val="21"/>
                    </w:rPr>
                  </w:pPr>
                  <w:r>
                    <w:rPr>
                      <w:rFonts w:hint="eastAsia" w:ascii="宋体" w:hAnsi="宋体" w:eastAsia="宋体" w:cs="宋体"/>
                      <w:kern w:val="0"/>
                      <w:szCs w:val="21"/>
                      <w:lang w:bidi="ar"/>
                    </w:rPr>
                    <w:t>至少1次/年；根据实际情况开展</w:t>
                  </w:r>
                  <w:r>
                    <w:rPr>
                      <w:rFonts w:ascii="宋体" w:hAnsi="宋体" w:eastAsia="宋体" w:cs="宋体"/>
                      <w:szCs w:val="21"/>
                    </w:rPr>
                    <w:t xml:space="preserve"> </w:t>
                  </w:r>
                </w:p>
              </w:tc>
              <w:tc>
                <w:tcPr>
                  <w:tcW w:w="1985" w:type="dxa"/>
                  <w:tcBorders>
                    <w:top w:val="single" w:color="000000" w:sz="4" w:space="0"/>
                    <w:left w:val="single" w:color="auto" w:sz="4" w:space="0"/>
                    <w:bottom w:val="single" w:color="auto" w:sz="4" w:space="0"/>
                    <w:right w:val="single" w:color="000000" w:sz="4" w:space="0"/>
                  </w:tcBorders>
                  <w:vAlign w:val="center"/>
                </w:tcPr>
                <w:p w14:paraId="05098222">
                  <w:pPr>
                    <w:widowControl/>
                    <w:jc w:val="left"/>
                    <w:textAlignment w:val="center"/>
                    <w:rPr>
                      <w:rFonts w:ascii="宋体" w:hAnsi="宋体" w:eastAsia="宋体" w:cs="宋体"/>
                      <w:szCs w:val="21"/>
                    </w:rPr>
                  </w:pPr>
                  <w:r>
                    <w:rPr>
                      <w:rFonts w:hint="eastAsia" w:ascii="宋体" w:hAnsi="宋体" w:eastAsia="宋体" w:cs="宋体"/>
                      <w:szCs w:val="21"/>
                    </w:rPr>
                    <w:t xml:space="preserve">每次开展需输出相关成果，包括但不限于宣传手册、安全知识PPT </w:t>
                  </w:r>
                </w:p>
              </w:tc>
            </w:tr>
            <w:tr w14:paraId="5C9AFE9B">
              <w:tblPrEx>
                <w:tblCellMar>
                  <w:top w:w="0" w:type="dxa"/>
                  <w:left w:w="108" w:type="dxa"/>
                  <w:bottom w:w="0" w:type="dxa"/>
                  <w:right w:w="108" w:type="dxa"/>
                </w:tblCellMar>
              </w:tblPrEx>
              <w:trPr>
                <w:trHeight w:val="1246" w:hRule="atLeast"/>
              </w:trPr>
              <w:tc>
                <w:tcPr>
                  <w:tcW w:w="462" w:type="dxa"/>
                  <w:tcBorders>
                    <w:top w:val="single" w:color="auto" w:sz="4" w:space="0"/>
                    <w:left w:val="single" w:color="auto" w:sz="4" w:space="0"/>
                    <w:bottom w:val="single" w:color="auto" w:sz="4" w:space="0"/>
                    <w:right w:val="single" w:color="auto" w:sz="4" w:space="0"/>
                  </w:tcBorders>
                  <w:vAlign w:val="center"/>
                </w:tcPr>
                <w:p w14:paraId="0EE568C8">
                  <w:pPr>
                    <w:widowControl/>
                    <w:jc w:val="center"/>
                    <w:textAlignment w:val="center"/>
                    <w:rPr>
                      <w:rFonts w:ascii="宋体" w:hAnsi="宋体" w:eastAsia="宋体" w:cs="宋体"/>
                      <w:szCs w:val="21"/>
                    </w:rPr>
                  </w:pPr>
                  <w:r>
                    <w:rPr>
                      <w:rFonts w:hint="eastAsia" w:ascii="宋体" w:hAnsi="宋体" w:eastAsia="宋体" w:cs="宋体"/>
                      <w:kern w:val="0"/>
                      <w:szCs w:val="21"/>
                      <w:lang w:bidi="ar"/>
                    </w:rPr>
                    <w:t>13</w:t>
                  </w:r>
                </w:p>
              </w:tc>
              <w:tc>
                <w:tcPr>
                  <w:tcW w:w="1049" w:type="dxa"/>
                  <w:tcBorders>
                    <w:top w:val="single" w:color="auto" w:sz="4" w:space="0"/>
                    <w:left w:val="single" w:color="auto" w:sz="4" w:space="0"/>
                    <w:bottom w:val="single" w:color="auto" w:sz="4" w:space="0"/>
                    <w:right w:val="single" w:color="auto" w:sz="4" w:space="0"/>
                  </w:tcBorders>
                  <w:vAlign w:val="center"/>
                </w:tcPr>
                <w:p w14:paraId="11F18033">
                  <w:pPr>
                    <w:textAlignment w:val="center"/>
                    <w:rPr>
                      <w:rFonts w:eastAsia="宋体"/>
                      <w:lang w:eastAsia="zh-Hans"/>
                    </w:rPr>
                  </w:pPr>
                  <w:r>
                    <w:rPr>
                      <w:rFonts w:hint="eastAsia"/>
                      <w:lang w:eastAsia="zh-Hans"/>
                    </w:rPr>
                    <w:t>医院网站安全监控</w:t>
                  </w:r>
                </w:p>
              </w:tc>
              <w:tc>
                <w:tcPr>
                  <w:tcW w:w="4013" w:type="dxa"/>
                  <w:tcBorders>
                    <w:top w:val="single" w:color="auto" w:sz="4" w:space="0"/>
                    <w:left w:val="single" w:color="auto" w:sz="4" w:space="0"/>
                    <w:bottom w:val="single" w:color="auto" w:sz="4" w:space="0"/>
                    <w:right w:val="single" w:color="auto" w:sz="4" w:space="0"/>
                  </w:tcBorders>
                  <w:vAlign w:val="center"/>
                </w:tcPr>
                <w:p w14:paraId="78CFD933">
                  <w:pPr>
                    <w:widowControl/>
                    <w:jc w:val="left"/>
                    <w:textAlignment w:val="center"/>
                    <w:rPr>
                      <w:rFonts w:ascii="宋体" w:hAnsi="宋体" w:eastAsia="宋体" w:cs="宋体"/>
                      <w:szCs w:val="21"/>
                    </w:rPr>
                  </w:pPr>
                  <w:r>
                    <w:rPr>
                      <w:rFonts w:hint="eastAsia" w:ascii="宋体" w:hAnsi="宋体" w:eastAsia="宋体" w:cs="宋体"/>
                      <w:kern w:val="0"/>
                      <w:szCs w:val="21"/>
                      <w:lang w:bidi="ar"/>
                    </w:rPr>
                    <w:t>7*24小时不间断监控，包括网站运行监控（可用性）、挂马及内容监控（安全性、非法篡改、合规性）、可疑站点监控和舆情信息监控等服务内容。</w:t>
                  </w:r>
                </w:p>
              </w:tc>
              <w:tc>
                <w:tcPr>
                  <w:tcW w:w="850" w:type="dxa"/>
                  <w:tcBorders>
                    <w:top w:val="single" w:color="auto" w:sz="4" w:space="0"/>
                    <w:left w:val="single" w:color="auto" w:sz="4" w:space="0"/>
                    <w:bottom w:val="single" w:color="auto" w:sz="4" w:space="0"/>
                    <w:right w:val="single" w:color="auto" w:sz="4" w:space="0"/>
                  </w:tcBorders>
                  <w:vAlign w:val="center"/>
                </w:tcPr>
                <w:p w14:paraId="58CC6DF7">
                  <w:pPr>
                    <w:widowControl/>
                    <w:jc w:val="center"/>
                    <w:textAlignment w:val="center"/>
                    <w:rPr>
                      <w:rFonts w:ascii="宋体" w:hAnsi="宋体" w:eastAsia="宋体" w:cs="宋体"/>
                      <w:szCs w:val="21"/>
                    </w:rPr>
                  </w:pPr>
                  <w:r>
                    <w:rPr>
                      <w:rFonts w:hint="eastAsia" w:ascii="宋体" w:hAnsi="宋体" w:eastAsia="宋体" w:cs="宋体"/>
                      <w:kern w:val="0"/>
                      <w:szCs w:val="21"/>
                      <w:lang w:bidi="ar"/>
                    </w:rPr>
                    <w:t>持续工作</w:t>
                  </w:r>
                </w:p>
              </w:tc>
              <w:tc>
                <w:tcPr>
                  <w:tcW w:w="1985" w:type="dxa"/>
                  <w:tcBorders>
                    <w:top w:val="single" w:color="auto" w:sz="4" w:space="0"/>
                    <w:left w:val="single" w:color="auto" w:sz="4" w:space="0"/>
                    <w:bottom w:val="single" w:color="auto" w:sz="4" w:space="0"/>
                    <w:right w:val="single" w:color="auto" w:sz="4" w:space="0"/>
                  </w:tcBorders>
                  <w:vAlign w:val="center"/>
                </w:tcPr>
                <w:p w14:paraId="35A3810F">
                  <w:pPr>
                    <w:widowControl/>
                    <w:jc w:val="left"/>
                    <w:textAlignment w:val="center"/>
                    <w:rPr>
                      <w:rFonts w:ascii="宋体" w:hAnsi="宋体" w:eastAsia="宋体" w:cs="宋体"/>
                      <w:szCs w:val="21"/>
                    </w:rPr>
                  </w:pPr>
                  <w:r>
                    <w:rPr>
                      <w:rFonts w:hint="eastAsia" w:ascii="宋体" w:hAnsi="宋体" w:eastAsia="宋体" w:cs="宋体"/>
                      <w:szCs w:val="21"/>
                    </w:rPr>
                    <w:t>针对医院网站以及对外提供服务的系统持续监测。</w:t>
                  </w:r>
                </w:p>
              </w:tc>
            </w:tr>
            <w:tr w14:paraId="57C8F082">
              <w:tblPrEx>
                <w:tblCellMar>
                  <w:top w:w="0" w:type="dxa"/>
                  <w:left w:w="108" w:type="dxa"/>
                  <w:bottom w:w="0" w:type="dxa"/>
                  <w:right w:w="108" w:type="dxa"/>
                </w:tblCellMar>
              </w:tblPrEx>
              <w:trPr>
                <w:trHeight w:val="419" w:hRule="atLeast"/>
              </w:trPr>
              <w:tc>
                <w:tcPr>
                  <w:tcW w:w="462" w:type="dxa"/>
                  <w:tcBorders>
                    <w:top w:val="single" w:color="auto" w:sz="4" w:space="0"/>
                    <w:left w:val="single" w:color="auto" w:sz="4" w:space="0"/>
                    <w:bottom w:val="single" w:color="auto" w:sz="4" w:space="0"/>
                    <w:right w:val="single" w:color="auto" w:sz="4" w:space="0"/>
                  </w:tcBorders>
                  <w:vAlign w:val="center"/>
                </w:tcPr>
                <w:p w14:paraId="41265833">
                  <w:pPr>
                    <w:widowControl/>
                    <w:jc w:val="center"/>
                    <w:textAlignment w:val="center"/>
                    <w:rPr>
                      <w:rFonts w:ascii="宋体" w:hAnsi="宋体" w:eastAsia="宋体" w:cs="宋体"/>
                      <w:szCs w:val="21"/>
                    </w:rPr>
                  </w:pPr>
                  <w:r>
                    <w:rPr>
                      <w:rFonts w:hint="eastAsia" w:ascii="宋体" w:hAnsi="宋体" w:eastAsia="宋体" w:cs="宋体"/>
                      <w:kern w:val="0"/>
                      <w:szCs w:val="21"/>
                      <w:lang w:bidi="ar"/>
                    </w:rPr>
                    <w:t>14</w:t>
                  </w:r>
                </w:p>
              </w:tc>
              <w:tc>
                <w:tcPr>
                  <w:tcW w:w="1049" w:type="dxa"/>
                  <w:tcBorders>
                    <w:top w:val="single" w:color="auto" w:sz="4" w:space="0"/>
                    <w:left w:val="single" w:color="auto" w:sz="4" w:space="0"/>
                    <w:bottom w:val="single" w:color="auto" w:sz="4" w:space="0"/>
                    <w:right w:val="single" w:color="auto" w:sz="4" w:space="0"/>
                  </w:tcBorders>
                  <w:vAlign w:val="center"/>
                </w:tcPr>
                <w:p w14:paraId="771278D6">
                  <w:pPr>
                    <w:widowControl/>
                    <w:jc w:val="center"/>
                    <w:textAlignment w:val="center"/>
                    <w:rPr>
                      <w:rFonts w:ascii="宋体" w:hAnsi="宋体" w:eastAsia="宋体" w:cs="宋体"/>
                      <w:szCs w:val="21"/>
                    </w:rPr>
                  </w:pPr>
                  <w:r>
                    <w:rPr>
                      <w:rFonts w:hint="eastAsia" w:ascii="宋体" w:hAnsi="宋体" w:eastAsia="宋体" w:cs="宋体"/>
                      <w:szCs w:val="21"/>
                    </w:rPr>
                    <w:t>飞行检查</w:t>
                  </w:r>
                </w:p>
              </w:tc>
              <w:tc>
                <w:tcPr>
                  <w:tcW w:w="4013" w:type="dxa"/>
                  <w:tcBorders>
                    <w:top w:val="single" w:color="auto" w:sz="4" w:space="0"/>
                    <w:left w:val="single" w:color="auto" w:sz="4" w:space="0"/>
                    <w:bottom w:val="single" w:color="auto" w:sz="4" w:space="0"/>
                    <w:right w:val="single" w:color="auto" w:sz="4" w:space="0"/>
                  </w:tcBorders>
                  <w:vAlign w:val="center"/>
                </w:tcPr>
                <w:p w14:paraId="1AB2A18E">
                  <w:pPr>
                    <w:widowControl/>
                    <w:jc w:val="left"/>
                    <w:textAlignment w:val="center"/>
                    <w:rPr>
                      <w:rFonts w:ascii="宋体" w:hAnsi="宋体" w:eastAsia="宋体" w:cs="宋体"/>
                      <w:szCs w:val="21"/>
                    </w:rPr>
                  </w:pPr>
                  <w:r>
                    <w:rPr>
                      <w:rFonts w:hint="eastAsia" w:ascii="宋体" w:hAnsi="宋体" w:eastAsia="宋体" w:cs="宋体"/>
                      <w:szCs w:val="21"/>
                    </w:rPr>
                    <w:t>在日常例行检查以及现场技术支持的基础上增加额外的巡检和扫描。</w:t>
                  </w:r>
                  <w:r>
                    <w:rPr>
                      <w:rFonts w:ascii="宋体" w:hAnsi="宋体" w:eastAsia="宋体" w:cs="宋体"/>
                      <w:szCs w:val="21"/>
                    </w:rPr>
                    <w:t xml:space="preserve"> </w:t>
                  </w:r>
                </w:p>
              </w:tc>
              <w:tc>
                <w:tcPr>
                  <w:tcW w:w="850" w:type="dxa"/>
                  <w:tcBorders>
                    <w:top w:val="single" w:color="auto" w:sz="4" w:space="0"/>
                    <w:left w:val="single" w:color="auto" w:sz="4" w:space="0"/>
                    <w:bottom w:val="single" w:color="auto" w:sz="4" w:space="0"/>
                    <w:right w:val="single" w:color="auto" w:sz="4" w:space="0"/>
                  </w:tcBorders>
                  <w:vAlign w:val="center"/>
                </w:tcPr>
                <w:p w14:paraId="51EC8925">
                  <w:pPr>
                    <w:widowControl/>
                    <w:jc w:val="center"/>
                    <w:textAlignment w:val="center"/>
                    <w:rPr>
                      <w:rFonts w:ascii="宋体" w:hAnsi="宋体" w:eastAsia="宋体" w:cs="宋体"/>
                      <w:szCs w:val="21"/>
                    </w:rPr>
                  </w:pPr>
                  <w:r>
                    <w:rPr>
                      <w:rFonts w:hint="eastAsia" w:ascii="宋体" w:hAnsi="宋体" w:eastAsia="宋体" w:cs="宋体"/>
                      <w:szCs w:val="21"/>
                    </w:rPr>
                    <w:t>半年一次</w:t>
                  </w:r>
                </w:p>
              </w:tc>
              <w:tc>
                <w:tcPr>
                  <w:tcW w:w="1985" w:type="dxa"/>
                  <w:tcBorders>
                    <w:top w:val="single" w:color="auto" w:sz="4" w:space="0"/>
                    <w:left w:val="single" w:color="auto" w:sz="4" w:space="0"/>
                    <w:bottom w:val="single" w:color="auto" w:sz="4" w:space="0"/>
                    <w:right w:val="single" w:color="auto" w:sz="4" w:space="0"/>
                  </w:tcBorders>
                  <w:vAlign w:val="center"/>
                </w:tcPr>
                <w:p w14:paraId="7A5631FF">
                  <w:pPr>
                    <w:widowControl/>
                    <w:jc w:val="left"/>
                    <w:textAlignment w:val="center"/>
                    <w:rPr>
                      <w:rFonts w:ascii="宋体" w:hAnsi="宋体" w:eastAsia="宋体" w:cs="宋体"/>
                      <w:szCs w:val="21"/>
                    </w:rPr>
                  </w:pPr>
                  <w:r>
                    <w:rPr>
                      <w:rFonts w:hint="eastAsia" w:ascii="宋体" w:hAnsi="宋体" w:eastAsia="宋体" w:cs="宋体"/>
                      <w:szCs w:val="21"/>
                    </w:rPr>
                    <w:t>检查内容包括但不限于日常检查内容及相关文件、相关安全漏洞、预警</w:t>
                  </w:r>
                </w:p>
              </w:tc>
            </w:tr>
            <w:tr w14:paraId="21F224D2">
              <w:tblPrEx>
                <w:tblCellMar>
                  <w:top w:w="0" w:type="dxa"/>
                  <w:left w:w="108" w:type="dxa"/>
                  <w:bottom w:w="0" w:type="dxa"/>
                  <w:right w:w="108" w:type="dxa"/>
                </w:tblCellMar>
              </w:tblPrEx>
              <w:trPr>
                <w:trHeight w:val="699" w:hRule="atLeast"/>
              </w:trPr>
              <w:tc>
                <w:tcPr>
                  <w:tcW w:w="462" w:type="dxa"/>
                  <w:tcBorders>
                    <w:top w:val="single" w:color="auto" w:sz="4" w:space="0"/>
                    <w:left w:val="single" w:color="auto" w:sz="4" w:space="0"/>
                    <w:bottom w:val="single" w:color="auto" w:sz="4" w:space="0"/>
                    <w:right w:val="single" w:color="auto" w:sz="4" w:space="0"/>
                  </w:tcBorders>
                  <w:vAlign w:val="center"/>
                </w:tcPr>
                <w:p w14:paraId="52BF8238">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15</w:t>
                  </w:r>
                </w:p>
              </w:tc>
              <w:tc>
                <w:tcPr>
                  <w:tcW w:w="1049" w:type="dxa"/>
                  <w:tcBorders>
                    <w:top w:val="single" w:color="auto" w:sz="4" w:space="0"/>
                    <w:left w:val="single" w:color="auto" w:sz="4" w:space="0"/>
                    <w:bottom w:val="single" w:color="auto" w:sz="4" w:space="0"/>
                    <w:right w:val="single" w:color="auto" w:sz="4" w:space="0"/>
                  </w:tcBorders>
                  <w:vAlign w:val="center"/>
                </w:tcPr>
                <w:p w14:paraId="17F373C4">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现场技术支持</w:t>
                  </w:r>
                </w:p>
              </w:tc>
              <w:tc>
                <w:tcPr>
                  <w:tcW w:w="4013" w:type="dxa"/>
                  <w:tcBorders>
                    <w:top w:val="single" w:color="auto" w:sz="4" w:space="0"/>
                    <w:left w:val="single" w:color="auto" w:sz="4" w:space="0"/>
                    <w:bottom w:val="single" w:color="auto" w:sz="4" w:space="0"/>
                    <w:right w:val="single" w:color="auto" w:sz="4" w:space="0"/>
                  </w:tcBorders>
                  <w:vAlign w:val="center"/>
                </w:tcPr>
                <w:p w14:paraId="71ACDC60">
                  <w:pPr>
                    <w:widowControl/>
                    <w:jc w:val="left"/>
                    <w:textAlignment w:val="center"/>
                    <w:rPr>
                      <w:rFonts w:ascii="宋体" w:hAnsi="宋体" w:eastAsia="宋体" w:cs="宋体"/>
                      <w:kern w:val="0"/>
                      <w:szCs w:val="21"/>
                      <w:lang w:bidi="ar"/>
                    </w:rPr>
                  </w:pPr>
                  <w:r>
                    <w:rPr>
                      <w:rFonts w:hint="eastAsia" w:ascii="宋体" w:hAnsi="宋体" w:eastAsia="宋体" w:cs="宋体"/>
                      <w:kern w:val="0"/>
                      <w:szCs w:val="21"/>
                      <w:lang w:bidi="ar"/>
                    </w:rPr>
                    <w:t>辅助医院各项安全管理制度的落实，负责医院日常网络信息安全工作。针对医院信息化资产多常态化安全检测跟进安全漏洞整改进度，重大时期安全值守保障工作。</w:t>
                  </w:r>
                  <w:r>
                    <w:rPr>
                      <w:rFonts w:hint="eastAsia" w:ascii="宋体" w:hAnsi="宋体" w:eastAsia="宋体" w:cs="宋体"/>
                      <w:kern w:val="0"/>
                      <w:szCs w:val="21"/>
                      <w:lang w:bidi="ar"/>
                    </w:rPr>
                    <w:br w:type="textWrapping"/>
                  </w:r>
                  <w:r>
                    <w:rPr>
                      <w:rFonts w:hint="eastAsia" w:ascii="宋体" w:hAnsi="宋体" w:eastAsia="宋体" w:cs="宋体"/>
                      <w:kern w:val="0"/>
                      <w:szCs w:val="21"/>
                      <w:lang w:bidi="ar"/>
                    </w:rPr>
                    <w:t>安排1名专职安全服务工程师全年度现场技术支持。</w:t>
                  </w:r>
                </w:p>
              </w:tc>
              <w:tc>
                <w:tcPr>
                  <w:tcW w:w="850" w:type="dxa"/>
                  <w:tcBorders>
                    <w:top w:val="single" w:color="auto" w:sz="4" w:space="0"/>
                    <w:left w:val="single" w:color="auto" w:sz="4" w:space="0"/>
                    <w:bottom w:val="single" w:color="auto" w:sz="4" w:space="0"/>
                    <w:right w:val="single" w:color="auto" w:sz="4" w:space="0"/>
                  </w:tcBorders>
                  <w:vAlign w:val="center"/>
                </w:tcPr>
                <w:p w14:paraId="0F8F353B">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持续工作</w:t>
                  </w:r>
                </w:p>
              </w:tc>
              <w:tc>
                <w:tcPr>
                  <w:tcW w:w="1985" w:type="dxa"/>
                  <w:tcBorders>
                    <w:top w:val="single" w:color="auto" w:sz="4" w:space="0"/>
                    <w:left w:val="single" w:color="auto" w:sz="4" w:space="0"/>
                    <w:bottom w:val="single" w:color="auto" w:sz="4" w:space="0"/>
                    <w:right w:val="single" w:color="auto" w:sz="4" w:space="0"/>
                  </w:tcBorders>
                  <w:vAlign w:val="center"/>
                </w:tcPr>
                <w:p w14:paraId="03F9D0B5">
                  <w:pPr>
                    <w:widowControl/>
                    <w:jc w:val="left"/>
                    <w:textAlignment w:val="center"/>
                    <w:rPr>
                      <w:rFonts w:ascii="宋体" w:hAnsi="宋体" w:eastAsia="宋体" w:cs="宋体"/>
                      <w:szCs w:val="21"/>
                    </w:rPr>
                  </w:pPr>
                  <w:r>
                    <w:rPr>
                      <w:rFonts w:hint="eastAsia" w:ascii="宋体" w:hAnsi="宋体" w:eastAsia="宋体" w:cs="宋体"/>
                      <w:szCs w:val="21"/>
                    </w:rPr>
                    <w:t>根据医院网络安全方针及需求开展工作，紧急情况下包含但不限于要求人员长期或短期现场驻点以及满足医院开展网络安全工作的需要。</w:t>
                  </w:r>
                </w:p>
                <w:p w14:paraId="21C8730B">
                  <w:pPr>
                    <w:widowControl/>
                    <w:jc w:val="left"/>
                    <w:textAlignment w:val="center"/>
                    <w:rPr>
                      <w:rFonts w:ascii="宋体" w:hAnsi="宋体" w:eastAsia="宋体" w:cs="宋体"/>
                      <w:szCs w:val="21"/>
                    </w:rPr>
                  </w:pPr>
                  <w:r>
                    <w:rPr>
                      <w:rFonts w:hint="eastAsia" w:ascii="宋体" w:hAnsi="宋体" w:eastAsia="宋体" w:cs="宋体"/>
                      <w:szCs w:val="21"/>
                    </w:rPr>
                    <w:t>重保期间至少1名工程师来院现场值守，值守时间遵循重保期间的要求。</w:t>
                  </w:r>
                </w:p>
              </w:tc>
            </w:tr>
            <w:tr w14:paraId="00ABC506">
              <w:tblPrEx>
                <w:tblCellMar>
                  <w:top w:w="0" w:type="dxa"/>
                  <w:left w:w="108" w:type="dxa"/>
                  <w:bottom w:w="0" w:type="dxa"/>
                  <w:right w:w="108" w:type="dxa"/>
                </w:tblCellMar>
              </w:tblPrEx>
              <w:trPr>
                <w:trHeight w:val="4643" w:hRule="atLeast"/>
              </w:trPr>
              <w:tc>
                <w:tcPr>
                  <w:tcW w:w="462" w:type="dxa"/>
                  <w:tcBorders>
                    <w:top w:val="single" w:color="auto" w:sz="4" w:space="0"/>
                    <w:left w:val="single" w:color="auto" w:sz="4" w:space="0"/>
                    <w:bottom w:val="single" w:color="auto" w:sz="4" w:space="0"/>
                    <w:right w:val="single" w:color="auto" w:sz="4" w:space="0"/>
                  </w:tcBorders>
                  <w:vAlign w:val="center"/>
                </w:tcPr>
                <w:p w14:paraId="08D458CD">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16</w:t>
                  </w:r>
                </w:p>
              </w:tc>
              <w:tc>
                <w:tcPr>
                  <w:tcW w:w="1049" w:type="dxa"/>
                  <w:tcBorders>
                    <w:top w:val="single" w:color="auto" w:sz="4" w:space="0"/>
                    <w:left w:val="single" w:color="auto" w:sz="4" w:space="0"/>
                    <w:bottom w:val="single" w:color="auto" w:sz="4" w:space="0"/>
                    <w:right w:val="single" w:color="auto" w:sz="4" w:space="0"/>
                  </w:tcBorders>
                  <w:vAlign w:val="center"/>
                </w:tcPr>
                <w:p w14:paraId="555F5B68">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应急响应</w:t>
                  </w:r>
                </w:p>
              </w:tc>
              <w:tc>
                <w:tcPr>
                  <w:tcW w:w="4013" w:type="dxa"/>
                  <w:tcBorders>
                    <w:top w:val="single" w:color="auto" w:sz="4" w:space="0"/>
                    <w:left w:val="single" w:color="auto" w:sz="4" w:space="0"/>
                    <w:bottom w:val="single" w:color="auto" w:sz="4" w:space="0"/>
                    <w:right w:val="single" w:color="auto" w:sz="4" w:space="0"/>
                  </w:tcBorders>
                  <w:vAlign w:val="center"/>
                </w:tcPr>
                <w:p w14:paraId="464281B1">
                  <w:pPr>
                    <w:rPr>
                      <w:rFonts w:ascii="宋体" w:hAnsi="宋体"/>
                    </w:rPr>
                  </w:pPr>
                  <w:r>
                    <w:rPr>
                      <w:rFonts w:hint="eastAsia" w:ascii="宋体" w:hAnsi="宋体"/>
                    </w:rPr>
                    <w:t>根据医院实际情况，提供信息安全应急响应工作，包括应急预案、事件处置及问题修复、报告输出。提供一年的365×7×24小时重大安全事件的应急响应工作，半小时以内响应，通过电话、电子邮件、或通过远程控制等方式提供非现场技术支持服务。重大安全事件2小时内到现场，应急响应主要针对突发的网站安全故障、网络安全事件、应用系统安全事件、主机安全事件、黑客攻击事件等进行诊断、分析并协助解决，可利用AI进行主机深度检查，快速定位攻击源。在网络或安全设备发生故障之后，评估网络环境、配置、状况、备份等因素，判断是否可以进行修复。在做好数据的备份、现场的记录之后，对配置进行紧急修复，尽可能的减少故障时间。</w:t>
                  </w:r>
                </w:p>
              </w:tc>
              <w:tc>
                <w:tcPr>
                  <w:tcW w:w="850" w:type="dxa"/>
                  <w:tcBorders>
                    <w:top w:val="single" w:color="auto" w:sz="4" w:space="0"/>
                    <w:left w:val="single" w:color="auto" w:sz="4" w:space="0"/>
                    <w:bottom w:val="single" w:color="auto" w:sz="4" w:space="0"/>
                    <w:right w:val="single" w:color="auto" w:sz="4" w:space="0"/>
                  </w:tcBorders>
                  <w:vAlign w:val="center"/>
                </w:tcPr>
                <w:p w14:paraId="00764623">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按需</w:t>
                  </w:r>
                </w:p>
              </w:tc>
              <w:tc>
                <w:tcPr>
                  <w:tcW w:w="1985" w:type="dxa"/>
                  <w:tcBorders>
                    <w:top w:val="single" w:color="auto" w:sz="4" w:space="0"/>
                    <w:left w:val="single" w:color="auto" w:sz="4" w:space="0"/>
                    <w:bottom w:val="single" w:color="auto" w:sz="4" w:space="0"/>
                    <w:right w:val="single" w:color="auto" w:sz="4" w:space="0"/>
                  </w:tcBorders>
                  <w:vAlign w:val="center"/>
                </w:tcPr>
                <w:p w14:paraId="546D503B">
                  <w:pPr>
                    <w:widowControl/>
                    <w:jc w:val="left"/>
                    <w:textAlignment w:val="center"/>
                    <w:rPr>
                      <w:rFonts w:ascii="宋体" w:hAnsi="宋体" w:eastAsia="宋体" w:cs="宋体"/>
                      <w:szCs w:val="21"/>
                    </w:rPr>
                  </w:pPr>
                  <w:r>
                    <w:rPr>
                      <w:rFonts w:hint="eastAsia" w:ascii="宋体" w:hAnsi="宋体" w:eastAsia="宋体" w:cs="宋体"/>
                      <w:szCs w:val="21"/>
                    </w:rPr>
                    <w:t>当发生安全事件后，安全专家及时响应协助客户检查所受影响的系统，对攻击事件进行溯源，找到问题的根源并提出解决方案，协助后续处理，并输出</w:t>
                  </w:r>
                  <w:r>
                    <w:rPr>
                      <w:rFonts w:hint="eastAsia" w:ascii="宋体" w:hAnsi="宋体" w:eastAsia="宋体" w:cs="宋体"/>
                      <w:szCs w:val="21"/>
                      <w:lang w:eastAsia="zh-Hans"/>
                    </w:rPr>
                    <w:t>相应</w:t>
                  </w:r>
                  <w:r>
                    <w:rPr>
                      <w:rFonts w:hint="eastAsia" w:ascii="宋体" w:hAnsi="宋体" w:eastAsia="宋体" w:cs="宋体"/>
                      <w:szCs w:val="21"/>
                    </w:rPr>
                    <w:t>的应急响应报告。</w:t>
                  </w:r>
                </w:p>
              </w:tc>
            </w:tr>
            <w:tr w14:paraId="16D76A7D">
              <w:tblPrEx>
                <w:tblCellMar>
                  <w:top w:w="0" w:type="dxa"/>
                  <w:left w:w="108" w:type="dxa"/>
                  <w:bottom w:w="0" w:type="dxa"/>
                  <w:right w:w="108" w:type="dxa"/>
                </w:tblCellMar>
              </w:tblPrEx>
              <w:trPr>
                <w:trHeight w:val="2640" w:hRule="atLeast"/>
              </w:trPr>
              <w:tc>
                <w:tcPr>
                  <w:tcW w:w="462" w:type="dxa"/>
                  <w:tcBorders>
                    <w:top w:val="single" w:color="auto" w:sz="4" w:space="0"/>
                    <w:left w:val="single" w:color="auto" w:sz="4" w:space="0"/>
                    <w:bottom w:val="single" w:color="auto" w:sz="4" w:space="0"/>
                    <w:right w:val="single" w:color="auto" w:sz="4" w:space="0"/>
                  </w:tcBorders>
                  <w:vAlign w:val="center"/>
                </w:tcPr>
                <w:p w14:paraId="47BA8C03">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17</w:t>
                  </w:r>
                </w:p>
              </w:tc>
              <w:tc>
                <w:tcPr>
                  <w:tcW w:w="1049" w:type="dxa"/>
                  <w:tcBorders>
                    <w:top w:val="single" w:color="auto" w:sz="4" w:space="0"/>
                    <w:left w:val="single" w:color="auto" w:sz="4" w:space="0"/>
                    <w:bottom w:val="single" w:color="auto" w:sz="4" w:space="0"/>
                    <w:right w:val="single" w:color="auto" w:sz="4" w:space="0"/>
                  </w:tcBorders>
                  <w:vAlign w:val="center"/>
                </w:tcPr>
                <w:p w14:paraId="7984E332">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重大活动保障</w:t>
                  </w:r>
                </w:p>
              </w:tc>
              <w:tc>
                <w:tcPr>
                  <w:tcW w:w="4013" w:type="dxa"/>
                  <w:tcBorders>
                    <w:top w:val="single" w:color="auto" w:sz="4" w:space="0"/>
                    <w:left w:val="single" w:color="auto" w:sz="4" w:space="0"/>
                    <w:bottom w:val="single" w:color="auto" w:sz="4" w:space="0"/>
                    <w:right w:val="single" w:color="auto" w:sz="4" w:space="0"/>
                  </w:tcBorders>
                  <w:vAlign w:val="center"/>
                </w:tcPr>
                <w:p w14:paraId="3B712CDA">
                  <w:pPr>
                    <w:rPr>
                      <w:rFonts w:ascii="宋体" w:hAnsi="宋体"/>
                    </w:rPr>
                  </w:pPr>
                  <w:r>
                    <w:rPr>
                      <w:rFonts w:hint="eastAsia" w:ascii="宋体" w:hAnsi="宋体"/>
                    </w:rPr>
                    <w:t>在重大行动（如深护、粤网安）等重保时期加强驻场和人力保障，按实际需要提供远程或现场值守，做好网络与网络安全隐患排查、安全防护、预警监测等安全保障技术支撑服务，确保业务系统安全运行，避免敏感事件或影响业务的安全事件发生。在服务期内，投标人需提供一套防御入侵攻击工具，为重大活动保障的过程中提升防御入侵攻击的能力。</w:t>
                  </w:r>
                </w:p>
              </w:tc>
              <w:tc>
                <w:tcPr>
                  <w:tcW w:w="850" w:type="dxa"/>
                  <w:tcBorders>
                    <w:top w:val="single" w:color="auto" w:sz="4" w:space="0"/>
                    <w:left w:val="single" w:color="auto" w:sz="4" w:space="0"/>
                    <w:bottom w:val="single" w:color="auto" w:sz="4" w:space="0"/>
                    <w:right w:val="single" w:color="auto" w:sz="4" w:space="0"/>
                  </w:tcBorders>
                  <w:vAlign w:val="center"/>
                </w:tcPr>
                <w:p w14:paraId="79B3AE88">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按需</w:t>
                  </w:r>
                </w:p>
              </w:tc>
              <w:tc>
                <w:tcPr>
                  <w:tcW w:w="1985" w:type="dxa"/>
                  <w:tcBorders>
                    <w:top w:val="single" w:color="auto" w:sz="4" w:space="0"/>
                    <w:left w:val="single" w:color="auto" w:sz="4" w:space="0"/>
                    <w:bottom w:val="single" w:color="auto" w:sz="4" w:space="0"/>
                    <w:right w:val="single" w:color="auto" w:sz="4" w:space="0"/>
                  </w:tcBorders>
                  <w:vAlign w:val="center"/>
                </w:tcPr>
                <w:p w14:paraId="01460F2D">
                  <w:pPr>
                    <w:widowControl/>
                    <w:jc w:val="left"/>
                    <w:textAlignment w:val="center"/>
                    <w:rPr>
                      <w:rFonts w:ascii="宋体" w:hAnsi="宋体" w:eastAsia="宋体" w:cs="宋体"/>
                      <w:szCs w:val="21"/>
                    </w:rPr>
                  </w:pPr>
                  <w:r>
                    <w:rPr>
                      <w:rFonts w:hint="eastAsia" w:ascii="宋体" w:hAnsi="宋体" w:eastAsia="宋体" w:cs="宋体"/>
                      <w:szCs w:val="21"/>
                    </w:rPr>
                    <w:t>按重大活动周期提供远程或现场值守，活动前提交《重保保障值班表》，结束后提交《重保保障工作总结报告》</w:t>
                  </w:r>
                </w:p>
              </w:tc>
            </w:tr>
            <w:tr w14:paraId="7042F764">
              <w:tblPrEx>
                <w:tblCellMar>
                  <w:top w:w="0" w:type="dxa"/>
                  <w:left w:w="108" w:type="dxa"/>
                  <w:bottom w:w="0" w:type="dxa"/>
                  <w:right w:w="108" w:type="dxa"/>
                </w:tblCellMar>
              </w:tblPrEx>
              <w:trPr>
                <w:trHeight w:val="2491" w:hRule="atLeast"/>
              </w:trPr>
              <w:tc>
                <w:tcPr>
                  <w:tcW w:w="462" w:type="dxa"/>
                  <w:tcBorders>
                    <w:top w:val="single" w:color="auto" w:sz="4" w:space="0"/>
                    <w:left w:val="single" w:color="auto" w:sz="4" w:space="0"/>
                    <w:bottom w:val="single" w:color="auto" w:sz="4" w:space="0"/>
                    <w:right w:val="single" w:color="auto" w:sz="4" w:space="0"/>
                  </w:tcBorders>
                  <w:vAlign w:val="center"/>
                </w:tcPr>
                <w:p w14:paraId="58B23119">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18</w:t>
                  </w:r>
                </w:p>
              </w:tc>
              <w:tc>
                <w:tcPr>
                  <w:tcW w:w="1049" w:type="dxa"/>
                  <w:tcBorders>
                    <w:top w:val="single" w:color="auto" w:sz="4" w:space="0"/>
                    <w:left w:val="single" w:color="auto" w:sz="4" w:space="0"/>
                    <w:bottom w:val="single" w:color="auto" w:sz="4" w:space="0"/>
                    <w:right w:val="single" w:color="auto" w:sz="4" w:space="0"/>
                  </w:tcBorders>
                  <w:vAlign w:val="center"/>
                </w:tcPr>
                <w:p w14:paraId="47127595">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安全分析及态势通报</w:t>
                  </w:r>
                </w:p>
              </w:tc>
              <w:tc>
                <w:tcPr>
                  <w:tcW w:w="4013" w:type="dxa"/>
                  <w:tcBorders>
                    <w:top w:val="single" w:color="auto" w:sz="4" w:space="0"/>
                    <w:left w:val="single" w:color="auto" w:sz="4" w:space="0"/>
                    <w:bottom w:val="single" w:color="auto" w:sz="4" w:space="0"/>
                    <w:right w:val="single" w:color="auto" w:sz="4" w:space="0"/>
                  </w:tcBorders>
                  <w:vAlign w:val="center"/>
                </w:tcPr>
                <w:p w14:paraId="2A35B0D8">
                  <w:pPr>
                    <w:jc w:val="left"/>
                  </w:pPr>
                  <w:r>
                    <w:rPr>
                      <w:rFonts w:hint="eastAsia"/>
                    </w:rPr>
                    <w:t>周期性地将安全治理服务的成果进行态势通报，形成信息系统安全治理月报、季报、年报。</w:t>
                  </w:r>
                </w:p>
                <w:p w14:paraId="68CE0E88">
                  <w:pPr>
                    <w:jc w:val="left"/>
                  </w:pPr>
                  <w:r>
                    <w:rPr>
                      <w:rFonts w:hint="eastAsia"/>
                    </w:rPr>
                    <w:t>每季度开展信息安全分析会，提出解决信息安全工作中存在问题的书面建议和意见，每季度提供一份安全分析报告。</w:t>
                  </w:r>
                </w:p>
              </w:tc>
              <w:tc>
                <w:tcPr>
                  <w:tcW w:w="850" w:type="dxa"/>
                  <w:tcBorders>
                    <w:top w:val="single" w:color="auto" w:sz="4" w:space="0"/>
                    <w:left w:val="single" w:color="auto" w:sz="4" w:space="0"/>
                    <w:bottom w:val="single" w:color="auto" w:sz="4" w:space="0"/>
                    <w:right w:val="single" w:color="auto" w:sz="4" w:space="0"/>
                  </w:tcBorders>
                  <w:vAlign w:val="center"/>
                </w:tcPr>
                <w:p w14:paraId="44105CDC">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每月、每季度、每年度</w:t>
                  </w:r>
                </w:p>
              </w:tc>
              <w:tc>
                <w:tcPr>
                  <w:tcW w:w="1985" w:type="dxa"/>
                  <w:tcBorders>
                    <w:top w:val="single" w:color="auto" w:sz="4" w:space="0"/>
                    <w:left w:val="single" w:color="auto" w:sz="4" w:space="0"/>
                    <w:bottom w:val="single" w:color="auto" w:sz="4" w:space="0"/>
                    <w:right w:val="single" w:color="auto" w:sz="4" w:space="0"/>
                  </w:tcBorders>
                  <w:vAlign w:val="center"/>
                </w:tcPr>
                <w:p w14:paraId="42C73B83">
                  <w:pPr>
                    <w:widowControl/>
                    <w:jc w:val="left"/>
                    <w:textAlignment w:val="center"/>
                    <w:rPr>
                      <w:rFonts w:ascii="宋体" w:hAnsi="宋体" w:eastAsia="宋体" w:cs="宋体"/>
                      <w:szCs w:val="21"/>
                    </w:rPr>
                  </w:pPr>
                  <w:r>
                    <w:rPr>
                      <w:rFonts w:hint="eastAsia" w:ascii="宋体" w:hAnsi="宋体" w:eastAsia="宋体" w:cs="宋体"/>
                      <w:szCs w:val="21"/>
                    </w:rPr>
                    <w:t>定期性汇总和汇报当前安全服务成果，对医院安全态势及情况定期进行汇报。输出安全服务成果报告及医院安全态势分析报告。</w:t>
                  </w:r>
                </w:p>
              </w:tc>
            </w:tr>
            <w:tr w14:paraId="042ED303">
              <w:tblPrEx>
                <w:tblCellMar>
                  <w:top w:w="0" w:type="dxa"/>
                  <w:left w:w="108" w:type="dxa"/>
                  <w:bottom w:w="0" w:type="dxa"/>
                  <w:right w:w="108" w:type="dxa"/>
                </w:tblCellMar>
              </w:tblPrEx>
              <w:trPr>
                <w:trHeight w:val="1285" w:hRule="atLeast"/>
              </w:trPr>
              <w:tc>
                <w:tcPr>
                  <w:tcW w:w="462" w:type="dxa"/>
                  <w:tcBorders>
                    <w:top w:val="single" w:color="auto" w:sz="4" w:space="0"/>
                    <w:left w:val="single" w:color="auto" w:sz="4" w:space="0"/>
                    <w:bottom w:val="single" w:color="auto" w:sz="4" w:space="0"/>
                    <w:right w:val="single" w:color="auto" w:sz="4" w:space="0"/>
                  </w:tcBorders>
                  <w:vAlign w:val="center"/>
                </w:tcPr>
                <w:p w14:paraId="54199942">
                  <w:pPr>
                    <w:widowControl/>
                    <w:textAlignment w:val="center"/>
                    <w:rPr>
                      <w:rFonts w:ascii="宋体" w:hAnsi="宋体" w:eastAsia="宋体" w:cs="宋体"/>
                      <w:kern w:val="0"/>
                      <w:szCs w:val="21"/>
                      <w:lang w:bidi="ar"/>
                    </w:rPr>
                  </w:pPr>
                  <w:r>
                    <w:rPr>
                      <w:rFonts w:hint="eastAsia" w:ascii="宋体" w:hAnsi="宋体" w:eastAsia="宋体" w:cs="宋体"/>
                      <w:kern w:val="0"/>
                      <w:szCs w:val="21"/>
                      <w:lang w:bidi="ar"/>
                    </w:rPr>
                    <w:t>19</w:t>
                  </w:r>
                </w:p>
              </w:tc>
              <w:tc>
                <w:tcPr>
                  <w:tcW w:w="1049" w:type="dxa"/>
                  <w:tcBorders>
                    <w:top w:val="single" w:color="auto" w:sz="4" w:space="0"/>
                    <w:left w:val="single" w:color="auto" w:sz="4" w:space="0"/>
                    <w:bottom w:val="single" w:color="auto" w:sz="4" w:space="0"/>
                    <w:right w:val="single" w:color="auto" w:sz="4" w:space="0"/>
                  </w:tcBorders>
                  <w:vAlign w:val="center"/>
                </w:tcPr>
                <w:p w14:paraId="75196266">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网络安全技术培训</w:t>
                  </w:r>
                </w:p>
              </w:tc>
              <w:tc>
                <w:tcPr>
                  <w:tcW w:w="4013" w:type="dxa"/>
                  <w:tcBorders>
                    <w:top w:val="single" w:color="auto" w:sz="4" w:space="0"/>
                    <w:left w:val="single" w:color="auto" w:sz="4" w:space="0"/>
                    <w:bottom w:val="single" w:color="auto" w:sz="4" w:space="0"/>
                    <w:right w:val="single" w:color="auto" w:sz="4" w:space="0"/>
                  </w:tcBorders>
                  <w:vAlign w:val="center"/>
                </w:tcPr>
                <w:p w14:paraId="69E0D2B2">
                  <w:pPr>
                    <w:jc w:val="left"/>
                  </w:pPr>
                  <w:r>
                    <w:rPr>
                      <w:rFonts w:hint="eastAsia"/>
                    </w:rPr>
                    <w:t>针对医院网络信息安全从业人员开展网络信息安全培训，提高从业人员的从而资质和专业水平</w:t>
                  </w:r>
                </w:p>
              </w:tc>
              <w:tc>
                <w:tcPr>
                  <w:tcW w:w="850" w:type="dxa"/>
                  <w:tcBorders>
                    <w:top w:val="single" w:color="auto" w:sz="4" w:space="0"/>
                    <w:left w:val="single" w:color="auto" w:sz="4" w:space="0"/>
                    <w:bottom w:val="single" w:color="auto" w:sz="4" w:space="0"/>
                    <w:right w:val="single" w:color="auto" w:sz="4" w:space="0"/>
                  </w:tcBorders>
                  <w:vAlign w:val="center"/>
                </w:tcPr>
                <w:p w14:paraId="70FFE960">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1次/年</w:t>
                  </w:r>
                </w:p>
              </w:tc>
              <w:tc>
                <w:tcPr>
                  <w:tcW w:w="1985" w:type="dxa"/>
                  <w:tcBorders>
                    <w:top w:val="single" w:color="auto" w:sz="4" w:space="0"/>
                    <w:left w:val="single" w:color="auto" w:sz="4" w:space="0"/>
                    <w:bottom w:val="single" w:color="auto" w:sz="4" w:space="0"/>
                    <w:right w:val="single" w:color="auto" w:sz="4" w:space="0"/>
                  </w:tcBorders>
                  <w:vAlign w:val="center"/>
                </w:tcPr>
                <w:p w14:paraId="24A90B9A">
                  <w:pPr>
                    <w:widowControl/>
                    <w:jc w:val="left"/>
                    <w:textAlignment w:val="center"/>
                    <w:rPr>
                      <w:rFonts w:ascii="宋体" w:hAnsi="宋体" w:eastAsia="宋体" w:cs="宋体"/>
                      <w:szCs w:val="21"/>
                    </w:rPr>
                  </w:pPr>
                  <w:r>
                    <w:rPr>
                      <w:rFonts w:hint="eastAsia" w:ascii="宋体" w:hAnsi="宋体" w:eastAsia="宋体" w:cs="宋体"/>
                      <w:szCs w:val="21"/>
                    </w:rPr>
                    <w:t>每年至少组织一次院内网络信息安全从业人员参加技术类专业技能培训。</w:t>
                  </w:r>
                </w:p>
              </w:tc>
            </w:tr>
            <w:tr w14:paraId="599B2782">
              <w:tblPrEx>
                <w:tblCellMar>
                  <w:top w:w="0" w:type="dxa"/>
                  <w:left w:w="108" w:type="dxa"/>
                  <w:bottom w:w="0" w:type="dxa"/>
                  <w:right w:w="108" w:type="dxa"/>
                </w:tblCellMar>
              </w:tblPrEx>
              <w:trPr>
                <w:trHeight w:val="277" w:hRule="atLeast"/>
              </w:trPr>
              <w:tc>
                <w:tcPr>
                  <w:tcW w:w="462" w:type="dxa"/>
                  <w:tcBorders>
                    <w:top w:val="single" w:color="auto" w:sz="4" w:space="0"/>
                    <w:left w:val="single" w:color="auto" w:sz="4" w:space="0"/>
                    <w:bottom w:val="single" w:color="auto" w:sz="4" w:space="0"/>
                    <w:right w:val="single" w:color="auto" w:sz="4" w:space="0"/>
                  </w:tcBorders>
                  <w:vAlign w:val="center"/>
                </w:tcPr>
                <w:p w14:paraId="654B4358">
                  <w:pPr>
                    <w:widowControl/>
                    <w:textAlignment w:val="center"/>
                    <w:rPr>
                      <w:rFonts w:ascii="宋体" w:hAnsi="宋体" w:eastAsia="宋体" w:cs="宋体"/>
                      <w:kern w:val="0"/>
                      <w:szCs w:val="21"/>
                      <w:lang w:bidi="ar"/>
                    </w:rPr>
                  </w:pPr>
                  <w:r>
                    <w:rPr>
                      <w:rFonts w:hint="eastAsia" w:ascii="宋体" w:hAnsi="宋体" w:eastAsia="宋体" w:cs="宋体"/>
                      <w:kern w:val="0"/>
                      <w:szCs w:val="21"/>
                      <w:lang w:bidi="ar"/>
                    </w:rPr>
                    <w:t>20</w:t>
                  </w:r>
                </w:p>
              </w:tc>
              <w:tc>
                <w:tcPr>
                  <w:tcW w:w="1049" w:type="dxa"/>
                  <w:tcBorders>
                    <w:top w:val="single" w:color="auto" w:sz="4" w:space="0"/>
                    <w:left w:val="single" w:color="auto" w:sz="4" w:space="0"/>
                    <w:bottom w:val="single" w:color="auto" w:sz="4" w:space="0"/>
                    <w:right w:val="single" w:color="auto" w:sz="4" w:space="0"/>
                  </w:tcBorders>
                  <w:vAlign w:val="center"/>
                </w:tcPr>
                <w:p w14:paraId="13637C63">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数据安全咨询</w:t>
                  </w:r>
                </w:p>
              </w:tc>
              <w:tc>
                <w:tcPr>
                  <w:tcW w:w="4013" w:type="dxa"/>
                  <w:tcBorders>
                    <w:top w:val="single" w:color="auto" w:sz="4" w:space="0"/>
                    <w:left w:val="single" w:color="auto" w:sz="4" w:space="0"/>
                    <w:bottom w:val="single" w:color="auto" w:sz="4" w:space="0"/>
                    <w:right w:val="single" w:color="auto" w:sz="4" w:space="0"/>
                  </w:tcBorders>
                  <w:vAlign w:val="center"/>
                </w:tcPr>
                <w:p w14:paraId="6AA792BE">
                  <w:pPr>
                    <w:jc w:val="left"/>
                  </w:pPr>
                  <w:r>
                    <w:rPr>
                      <w:rFonts w:hint="eastAsia"/>
                    </w:rPr>
                    <w:t>根据对医院单位的数据安全现状评估的结果，按照数据安全生命周期的规律，以开展数据共享开放业务的自身需求出发，规划设计适用于单位业务的数据安全保障体系，出具相应数据安全解决方案。</w:t>
                  </w:r>
                </w:p>
              </w:tc>
              <w:tc>
                <w:tcPr>
                  <w:tcW w:w="850" w:type="dxa"/>
                  <w:tcBorders>
                    <w:top w:val="single" w:color="auto" w:sz="4" w:space="0"/>
                    <w:left w:val="single" w:color="auto" w:sz="4" w:space="0"/>
                    <w:bottom w:val="single" w:color="auto" w:sz="4" w:space="0"/>
                    <w:right w:val="single" w:color="auto" w:sz="4" w:space="0"/>
                  </w:tcBorders>
                  <w:vAlign w:val="center"/>
                </w:tcPr>
                <w:p w14:paraId="39B56661">
                  <w:pPr>
                    <w:widowControl/>
                    <w:jc w:val="center"/>
                    <w:textAlignment w:val="center"/>
                    <w:rPr>
                      <w:rFonts w:ascii="宋体" w:hAnsi="宋体" w:eastAsia="宋体" w:cs="宋体"/>
                      <w:kern w:val="0"/>
                      <w:szCs w:val="21"/>
                      <w:lang w:bidi="ar"/>
                    </w:rPr>
                  </w:pPr>
                  <w:r>
                    <w:rPr>
                      <w:rFonts w:hint="eastAsia" w:ascii="宋体" w:hAnsi="宋体" w:eastAsia="宋体" w:cs="宋体"/>
                      <w:kern w:val="0"/>
                      <w:szCs w:val="21"/>
                      <w:lang w:bidi="ar"/>
                    </w:rPr>
                    <w:t>1次/年</w:t>
                  </w:r>
                </w:p>
              </w:tc>
              <w:tc>
                <w:tcPr>
                  <w:tcW w:w="1985" w:type="dxa"/>
                  <w:tcBorders>
                    <w:top w:val="single" w:color="auto" w:sz="4" w:space="0"/>
                    <w:left w:val="single" w:color="auto" w:sz="4" w:space="0"/>
                    <w:bottom w:val="single" w:color="auto" w:sz="4" w:space="0"/>
                    <w:right w:val="single" w:color="auto" w:sz="4" w:space="0"/>
                  </w:tcBorders>
                  <w:vAlign w:val="center"/>
                </w:tcPr>
                <w:p w14:paraId="7F256B87">
                  <w:pPr>
                    <w:widowControl/>
                    <w:jc w:val="left"/>
                    <w:textAlignment w:val="center"/>
                    <w:rPr>
                      <w:rFonts w:ascii="宋体" w:hAnsi="宋体" w:eastAsia="宋体" w:cs="宋体"/>
                      <w:szCs w:val="21"/>
                    </w:rPr>
                  </w:pPr>
                  <w:r>
                    <w:rPr>
                      <w:rFonts w:hint="eastAsia" w:ascii="宋体" w:hAnsi="宋体" w:eastAsia="宋体" w:cs="宋体"/>
                      <w:szCs w:val="21"/>
                    </w:rPr>
                    <w:t>每年组织一次数据安全整体评估工作，结合医院建设目标输出数据安全规划建设方案。</w:t>
                  </w:r>
                </w:p>
              </w:tc>
            </w:tr>
          </w:tbl>
          <w:p w14:paraId="30477DAB">
            <w:pPr>
              <w:widowControl/>
              <w:ind w:firstLine="420" w:firstLineChars="200"/>
              <w:jc w:val="left"/>
              <w:textAlignment w:val="center"/>
              <w:rPr>
                <w:rFonts w:ascii="仿宋_GB2312" w:cs="宋体" w:hAnsiTheme="minorEastAsia"/>
                <w:b/>
                <w:szCs w:val="21"/>
                <w:highlight w:val="yellow"/>
              </w:rPr>
            </w:pPr>
            <w:r>
              <w:rPr>
                <w:rFonts w:hint="eastAsia" w:cs="宋体" w:asciiTheme="minorEastAsia" w:hAnsiTheme="minorEastAsia"/>
                <w:kern w:val="0"/>
                <w:szCs w:val="21"/>
              </w:rPr>
              <w:t>★</w:t>
            </w:r>
            <w:r>
              <w:rPr>
                <w:rFonts w:hint="eastAsia" w:ascii="宋体" w:hAnsi="宋体" w:eastAsia="宋体" w:cs="宋体"/>
                <w:szCs w:val="21"/>
              </w:rPr>
              <w:t>网络安全法律法规、管理条例及上级单位文件要求在不断地发布、更新，网络安全建设是一个不断发展和完善的过程，故此承建单位需在服务期内按照法律法规、管理条例及上级单位文件要求调整以及提供未在服务清单范围内的内容，以满足医院对于网络安全管理的基本要求，需额外购置工具、配件、材料以及设备的除外。</w:t>
            </w:r>
          </w:p>
        </w:tc>
      </w:tr>
      <w:tr w14:paraId="0A348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821" w:hRule="atLeast"/>
          <w:tblCellSpacing w:w="0" w:type="dxa"/>
          <w:jc w:val="center"/>
        </w:trPr>
        <w:tc>
          <w:tcPr>
            <w:tcW w:w="868" w:type="dxa"/>
            <w:vAlign w:val="center"/>
          </w:tcPr>
          <w:p w14:paraId="20666AB9">
            <w:pPr>
              <w:widowControl/>
              <w:spacing w:before="100" w:beforeAutospacing="1" w:after="100" w:afterAutospacing="1"/>
              <w:jc w:val="left"/>
              <w:rPr>
                <w:rFonts w:ascii="宋体" w:hAnsi="宋体" w:eastAsia="宋体" w:cs="宋体"/>
                <w:kern w:val="0"/>
                <w:sz w:val="20"/>
                <w:szCs w:val="20"/>
              </w:rPr>
            </w:pPr>
            <w:r>
              <w:rPr>
                <w:rFonts w:hint="eastAsia" w:ascii="宋体" w:hAnsi="宋体" w:eastAsia="宋体" w:cs="宋体"/>
                <w:b/>
                <w:bCs/>
                <w:kern w:val="0"/>
                <w:sz w:val="20"/>
                <w:szCs w:val="20"/>
              </w:rPr>
              <w:t>满足服务所需的工具及相关</w:t>
            </w:r>
            <w:r>
              <w:rPr>
                <w:rFonts w:ascii="宋体" w:hAnsi="宋体" w:eastAsia="宋体" w:cs="宋体"/>
                <w:b/>
                <w:bCs/>
                <w:kern w:val="0"/>
                <w:sz w:val="20"/>
                <w:szCs w:val="20"/>
              </w:rPr>
              <w:t>要求</w:t>
            </w:r>
            <w:r>
              <w:rPr>
                <w:rFonts w:hint="eastAsia" w:ascii="宋体" w:hAnsi="宋体" w:eastAsia="宋体" w:cs="宋体"/>
                <w:b/>
                <w:bCs/>
                <w:kern w:val="0"/>
                <w:sz w:val="20"/>
                <w:szCs w:val="20"/>
              </w:rPr>
              <w:t>（开展本项目相关服务必须的工具，非本项目采购范围）</w:t>
            </w:r>
            <w:r>
              <w:rPr>
                <w:rFonts w:ascii="宋体" w:hAnsi="宋体" w:eastAsia="宋体" w:cs="宋体"/>
                <w:kern w:val="0"/>
                <w:sz w:val="20"/>
                <w:szCs w:val="20"/>
              </w:rPr>
              <w:t xml:space="preserve"> </w:t>
            </w:r>
          </w:p>
        </w:tc>
        <w:tc>
          <w:tcPr>
            <w:tcW w:w="8370" w:type="dxa"/>
            <w:gridSpan w:val="3"/>
            <w:vAlign w:val="center"/>
          </w:tcPr>
          <w:tbl>
            <w:tblPr>
              <w:tblStyle w:val="13"/>
              <w:tblW w:w="81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1026"/>
              <w:gridCol w:w="6448"/>
            </w:tblGrid>
            <w:tr w14:paraId="2D19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685" w:type="dxa"/>
                  <w:shd w:val="clear" w:color="auto" w:fill="FFFFFF" w:themeFill="background1"/>
                </w:tcPr>
                <w:p w14:paraId="1418FD72">
                  <w:pPr>
                    <w:jc w:val="center"/>
                    <w:rPr>
                      <w:rFonts w:ascii="宋体" w:hAnsi="宋体" w:eastAsia="宋体" w:cs="宋体"/>
                      <w:b/>
                      <w:bCs/>
                      <w:szCs w:val="21"/>
                    </w:rPr>
                  </w:pPr>
                  <w:r>
                    <w:rPr>
                      <w:rFonts w:hint="eastAsia" w:ascii="宋体" w:hAnsi="宋体" w:eastAsia="宋体" w:cs="宋体"/>
                      <w:b/>
                      <w:bCs/>
                      <w:szCs w:val="21"/>
                    </w:rPr>
                    <w:t>序号</w:t>
                  </w:r>
                </w:p>
              </w:tc>
              <w:tc>
                <w:tcPr>
                  <w:tcW w:w="1026" w:type="dxa"/>
                  <w:shd w:val="clear" w:color="auto" w:fill="FFFFFF" w:themeFill="background1"/>
                </w:tcPr>
                <w:p w14:paraId="1DBFC7C5">
                  <w:pPr>
                    <w:jc w:val="center"/>
                    <w:rPr>
                      <w:rFonts w:ascii="宋体" w:hAnsi="宋体" w:eastAsia="宋体" w:cs="宋体"/>
                      <w:b/>
                      <w:bCs/>
                      <w:szCs w:val="21"/>
                      <w:lang w:eastAsia="zh-Hans"/>
                    </w:rPr>
                  </w:pPr>
                  <w:r>
                    <w:rPr>
                      <w:rFonts w:hint="eastAsia" w:ascii="宋体" w:hAnsi="宋体" w:eastAsia="宋体" w:cs="宋体"/>
                      <w:b/>
                      <w:bCs/>
                      <w:szCs w:val="21"/>
                      <w:lang w:eastAsia="zh-Hans"/>
                    </w:rPr>
                    <w:t>服务工具</w:t>
                  </w:r>
                </w:p>
              </w:tc>
              <w:tc>
                <w:tcPr>
                  <w:tcW w:w="6448" w:type="dxa"/>
                  <w:shd w:val="clear" w:color="auto" w:fill="FFFFFF" w:themeFill="background1"/>
                </w:tcPr>
                <w:p w14:paraId="615FA3BC">
                  <w:pPr>
                    <w:jc w:val="center"/>
                    <w:rPr>
                      <w:rFonts w:ascii="宋体" w:hAnsi="宋体" w:eastAsia="宋体" w:cs="宋体"/>
                      <w:b/>
                      <w:bCs/>
                      <w:szCs w:val="21"/>
                      <w:lang w:eastAsia="zh-Hans"/>
                    </w:rPr>
                  </w:pPr>
                  <w:r>
                    <w:rPr>
                      <w:rFonts w:hint="eastAsia" w:ascii="宋体" w:hAnsi="宋体" w:eastAsia="宋体" w:cs="宋体"/>
                      <w:b/>
                      <w:bCs/>
                      <w:szCs w:val="21"/>
                      <w:lang w:eastAsia="zh-Hans"/>
                    </w:rPr>
                    <w:t>技术要求</w:t>
                  </w:r>
                </w:p>
              </w:tc>
            </w:tr>
            <w:tr w14:paraId="54962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85" w:type="dxa"/>
                  <w:vAlign w:val="center"/>
                </w:tcPr>
                <w:p w14:paraId="3FDD5043">
                  <w:pPr>
                    <w:jc w:val="center"/>
                    <w:rPr>
                      <w:rFonts w:ascii="宋体" w:hAnsi="宋体" w:eastAsia="宋体" w:cs="宋体"/>
                      <w:szCs w:val="21"/>
                    </w:rPr>
                  </w:pPr>
                  <w:r>
                    <w:rPr>
                      <w:rFonts w:hint="eastAsia" w:ascii="宋体" w:hAnsi="宋体" w:eastAsia="宋体" w:cs="宋体"/>
                      <w:szCs w:val="21"/>
                    </w:rPr>
                    <w:t>1</w:t>
                  </w:r>
                </w:p>
              </w:tc>
              <w:tc>
                <w:tcPr>
                  <w:tcW w:w="1026" w:type="dxa"/>
                  <w:vAlign w:val="center"/>
                </w:tcPr>
                <w:p w14:paraId="285CED96">
                  <w:pPr>
                    <w:jc w:val="center"/>
                    <w:rPr>
                      <w:rFonts w:ascii="宋体" w:hAnsi="宋体" w:eastAsia="宋体" w:cs="宋体"/>
                      <w:szCs w:val="21"/>
                      <w:lang w:eastAsia="zh-Hans"/>
                    </w:rPr>
                  </w:pPr>
                  <w:r>
                    <w:rPr>
                      <w:rFonts w:hint="eastAsia" w:ascii="宋体" w:hAnsi="宋体" w:eastAsia="宋体" w:cs="宋体"/>
                      <w:szCs w:val="21"/>
                      <w:lang w:eastAsia="zh-Hans"/>
                    </w:rPr>
                    <w:t>防御入侵攻击工具</w:t>
                  </w:r>
                </w:p>
              </w:tc>
              <w:tc>
                <w:tcPr>
                  <w:tcW w:w="6448" w:type="dxa"/>
                </w:tcPr>
                <w:p w14:paraId="101365C4">
                  <w:pPr>
                    <w:numPr>
                      <w:ilvl w:val="0"/>
                      <w:numId w:val="1"/>
                    </w:numPr>
                    <w:ind w:left="425" w:hanging="425"/>
                    <w:rPr>
                      <w:rFonts w:ascii="宋体" w:hAnsi="宋体" w:eastAsia="宋体" w:cs="宋体"/>
                      <w:szCs w:val="21"/>
                    </w:rPr>
                  </w:pPr>
                  <w:r>
                    <w:rPr>
                      <w:rFonts w:hint="eastAsia" w:ascii="宋体" w:hAnsi="宋体" w:eastAsia="宋体" w:cs="宋体"/>
                      <w:szCs w:val="21"/>
                    </w:rPr>
                    <w:t>系统内置资产指纹库，可识别的主机资产类型包括但不限于通用主机、移动电话、防火墙、网络摄像机等；可识别的主机资产操作系统包括但不限于Windows，Linux，MAC OS，Android，IOS等；可识别的软件资产类型包括但不限于WEB组件、WEB中间件等WEB应用，Oracle、Hive等数据库，电脑游戏、图像设计等桌面软件以及各类网络协议等。</w:t>
                  </w:r>
                </w:p>
                <w:p w14:paraId="5333D49D">
                  <w:pPr>
                    <w:numPr>
                      <w:ilvl w:val="0"/>
                      <w:numId w:val="1"/>
                    </w:numPr>
                    <w:ind w:left="425" w:hanging="425"/>
                    <w:rPr>
                      <w:rFonts w:ascii="宋体" w:hAnsi="宋体" w:eastAsia="宋体" w:cs="宋体"/>
                      <w:szCs w:val="21"/>
                    </w:rPr>
                  </w:pPr>
                  <w:r>
                    <w:rPr>
                      <w:rFonts w:hint="eastAsia" w:ascii="宋体" w:hAnsi="宋体" w:eastAsia="宋体" w:cs="宋体"/>
                      <w:szCs w:val="21"/>
                    </w:rPr>
                    <w:t>支持根据自定义漏洞模板扫描漏洞，扫描结果储存在扫描靶机上的漏洞信息，包括名称、CVE-ID、CNNVD-ID等信息，并在漏洞列表处记录扫描到的漏洞信息，信息与扫描结果一致。同时，可查看漏洞的具体信息和修复建议。</w:t>
                  </w:r>
                </w:p>
                <w:p w14:paraId="06705EA9">
                  <w:pPr>
                    <w:numPr>
                      <w:ilvl w:val="0"/>
                      <w:numId w:val="1"/>
                    </w:numPr>
                    <w:ind w:left="425" w:hanging="425"/>
                    <w:rPr>
                      <w:rFonts w:ascii="宋体" w:hAnsi="宋体" w:eastAsia="宋体" w:cs="宋体"/>
                      <w:szCs w:val="21"/>
                    </w:rPr>
                  </w:pPr>
                  <w:r>
                    <w:rPr>
                      <w:rFonts w:hint="eastAsia" w:ascii="宋体" w:hAnsi="宋体" w:eastAsia="宋体" w:cs="宋体"/>
                      <w:szCs w:val="21"/>
                    </w:rPr>
                    <w:t>系统预定义主流攻击规则，包含对应入侵防御规则的级别、防护对象、操作系统、CVE编号、CNNVD编号等详细信息。</w:t>
                  </w:r>
                </w:p>
                <w:p w14:paraId="1FEC21C8">
                  <w:pPr>
                    <w:numPr>
                      <w:ilvl w:val="0"/>
                      <w:numId w:val="1"/>
                    </w:numPr>
                    <w:ind w:left="425" w:hanging="425"/>
                    <w:rPr>
                      <w:rFonts w:ascii="宋体" w:hAnsi="宋体" w:eastAsia="宋体" w:cs="宋体"/>
                      <w:szCs w:val="21"/>
                    </w:rPr>
                  </w:pPr>
                  <w:r>
                    <w:rPr>
                      <w:rFonts w:hint="eastAsia" w:ascii="宋体" w:hAnsi="宋体" w:eastAsia="宋体" w:cs="宋体"/>
                      <w:szCs w:val="21"/>
                    </w:rPr>
                    <w:t>为保障业务稳定运行，流量转发至少支持普通模式和智能模式。普通模式下，所有报文均上送安全引擎；智能模式下，超过上限的报文不再上送安全引擎。</w:t>
                  </w:r>
                </w:p>
                <w:p w14:paraId="40D8CBD3">
                  <w:pPr>
                    <w:numPr>
                      <w:ilvl w:val="0"/>
                      <w:numId w:val="1"/>
                    </w:numPr>
                    <w:ind w:left="425" w:hanging="425"/>
                    <w:rPr>
                      <w:rFonts w:ascii="宋体" w:hAnsi="宋体" w:eastAsia="宋体" w:cs="宋体"/>
                      <w:szCs w:val="21"/>
                    </w:rPr>
                  </w:pPr>
                  <w:r>
                    <w:rPr>
                      <w:rFonts w:hint="eastAsia" w:ascii="宋体" w:hAnsi="宋体" w:eastAsia="宋体" w:cs="宋体"/>
                      <w:szCs w:val="21"/>
                    </w:rPr>
                    <w:t>支持Telnet、FTP、IMAP、POP3、SMTP、HTTP等协议的弱密码防护。支持预定义弱密码规则和自定义弱密码防护。</w:t>
                  </w:r>
                </w:p>
                <w:p w14:paraId="58103325">
                  <w:pPr>
                    <w:numPr>
                      <w:ilvl w:val="0"/>
                      <w:numId w:val="1"/>
                    </w:numPr>
                    <w:ind w:left="425" w:hanging="425"/>
                    <w:rPr>
                      <w:rFonts w:ascii="宋体" w:hAnsi="宋体" w:eastAsia="宋体" w:cs="宋体"/>
                      <w:szCs w:val="21"/>
                    </w:rPr>
                  </w:pPr>
                  <w:r>
                    <w:rPr>
                      <w:rFonts w:hint="eastAsia" w:ascii="宋体" w:hAnsi="宋体" w:eastAsia="宋体" w:cs="宋体"/>
                      <w:szCs w:val="21"/>
                    </w:rPr>
                    <w:t>支持对控制策略进行策略分析，分析结果中存在冲突策略和合并策略。</w:t>
                  </w:r>
                </w:p>
                <w:p w14:paraId="0086F5F3">
                  <w:pPr>
                    <w:numPr>
                      <w:ilvl w:val="0"/>
                      <w:numId w:val="1"/>
                    </w:numPr>
                    <w:ind w:left="425" w:hanging="425"/>
                    <w:rPr>
                      <w:rFonts w:ascii="宋体" w:hAnsi="宋体" w:eastAsia="宋体" w:cs="宋体"/>
                      <w:szCs w:val="21"/>
                    </w:rPr>
                  </w:pPr>
                  <w:r>
                    <w:rPr>
                      <w:rFonts w:hint="eastAsia" w:ascii="宋体" w:hAnsi="宋体" w:eastAsia="宋体" w:cs="宋体"/>
                      <w:szCs w:val="21"/>
                    </w:rPr>
                    <w:t>支持基于C&amp;C、勒索软件、僵尸网络、挖矿软件、矿池地址等威胁情报上报测试功能。</w:t>
                  </w:r>
                </w:p>
              </w:tc>
            </w:tr>
          </w:tbl>
          <w:p w14:paraId="1F68954E">
            <w:pPr>
              <w:widowControl/>
              <w:ind w:hanging="720"/>
              <w:jc w:val="left"/>
              <w:rPr>
                <w:rFonts w:ascii="宋体" w:hAnsi="宋体" w:eastAsia="宋体" w:cs="宋体"/>
                <w:kern w:val="0"/>
                <w:sz w:val="20"/>
                <w:szCs w:val="20"/>
              </w:rPr>
            </w:pPr>
          </w:p>
        </w:tc>
      </w:tr>
      <w:tr w14:paraId="2674F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112" w:hRule="atLeast"/>
          <w:tblCellSpacing w:w="0" w:type="dxa"/>
          <w:jc w:val="center"/>
        </w:trPr>
        <w:tc>
          <w:tcPr>
            <w:tcW w:w="868" w:type="dxa"/>
            <w:vAlign w:val="center"/>
          </w:tcPr>
          <w:p w14:paraId="1D50804C">
            <w:pPr>
              <w:widowControl/>
              <w:spacing w:before="100" w:beforeAutospacing="1" w:after="100" w:afterAutospacing="1"/>
              <w:jc w:val="left"/>
              <w:rPr>
                <w:rFonts w:ascii="宋体" w:hAnsi="宋体" w:eastAsia="宋体" w:cs="宋体"/>
                <w:kern w:val="0"/>
                <w:sz w:val="20"/>
                <w:szCs w:val="20"/>
              </w:rPr>
            </w:pPr>
            <w:r>
              <w:rPr>
                <w:rFonts w:ascii="宋体" w:hAnsi="宋体" w:eastAsia="宋体" w:cs="宋体"/>
                <w:b/>
                <w:bCs/>
                <w:kern w:val="0"/>
                <w:sz w:val="20"/>
                <w:szCs w:val="20"/>
              </w:rPr>
              <w:t>商务需求</w:t>
            </w:r>
            <w:r>
              <w:rPr>
                <w:rFonts w:ascii="宋体" w:hAnsi="宋体" w:eastAsia="宋体" w:cs="宋体"/>
                <w:kern w:val="0"/>
                <w:sz w:val="20"/>
                <w:szCs w:val="20"/>
              </w:rPr>
              <w:t xml:space="preserve"> </w:t>
            </w:r>
          </w:p>
        </w:tc>
        <w:tc>
          <w:tcPr>
            <w:tcW w:w="8370" w:type="dxa"/>
            <w:gridSpan w:val="3"/>
            <w:vAlign w:val="center"/>
          </w:tcPr>
          <w:tbl>
            <w:tblPr>
              <w:tblStyle w:val="12"/>
              <w:tblW w:w="810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3"/>
              <w:gridCol w:w="1985"/>
              <w:gridCol w:w="5014"/>
            </w:tblGrid>
            <w:tr w14:paraId="0337E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103" w:type="dxa"/>
                  <w:vAlign w:val="center"/>
                </w:tcPr>
                <w:p w14:paraId="345693DD">
                  <w:pPr>
                    <w:jc w:val="center"/>
                    <w:rPr>
                      <w:b/>
                    </w:rPr>
                  </w:pPr>
                  <w:r>
                    <w:rPr>
                      <w:rFonts w:hint="eastAsia"/>
                      <w:b/>
                    </w:rPr>
                    <w:t>序号</w:t>
                  </w:r>
                </w:p>
              </w:tc>
              <w:tc>
                <w:tcPr>
                  <w:tcW w:w="1985" w:type="dxa"/>
                  <w:vAlign w:val="center"/>
                </w:tcPr>
                <w:p w14:paraId="78735E39">
                  <w:pPr>
                    <w:jc w:val="center"/>
                    <w:rPr>
                      <w:b/>
                    </w:rPr>
                  </w:pPr>
                  <w:r>
                    <w:rPr>
                      <w:rFonts w:hint="eastAsia"/>
                      <w:b/>
                    </w:rPr>
                    <w:t>目录</w:t>
                  </w:r>
                </w:p>
              </w:tc>
              <w:tc>
                <w:tcPr>
                  <w:tcW w:w="5014" w:type="dxa"/>
                  <w:vAlign w:val="center"/>
                </w:tcPr>
                <w:p w14:paraId="7CF2A1D8">
                  <w:pPr>
                    <w:jc w:val="center"/>
                    <w:rPr>
                      <w:b/>
                    </w:rPr>
                  </w:pPr>
                  <w:r>
                    <w:rPr>
                      <w:rFonts w:hint="eastAsia"/>
                      <w:b/>
                    </w:rPr>
                    <w:t>招标商务需求</w:t>
                  </w:r>
                </w:p>
              </w:tc>
            </w:tr>
            <w:tr w14:paraId="62D07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102" w:type="dxa"/>
                  <w:gridSpan w:val="3"/>
                </w:tcPr>
                <w:p w14:paraId="1291149C">
                  <w:pPr>
                    <w:rPr>
                      <w:b/>
                    </w:rPr>
                  </w:pPr>
                  <w:r>
                    <w:rPr>
                      <w:rFonts w:hint="eastAsia"/>
                      <w:b/>
                    </w:rPr>
                    <w:t>（一）服务要求</w:t>
                  </w:r>
                </w:p>
              </w:tc>
            </w:tr>
            <w:tr w14:paraId="07B8A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3" w:type="dxa"/>
                  <w:vAlign w:val="center"/>
                </w:tcPr>
                <w:p w14:paraId="71DA840C">
                  <w:pPr>
                    <w:jc w:val="center"/>
                    <w:rPr>
                      <w:b/>
                    </w:rPr>
                  </w:pPr>
                  <w:r>
                    <w:rPr>
                      <w:rFonts w:hint="eastAsia"/>
                      <w:b/>
                    </w:rPr>
                    <w:t>1</w:t>
                  </w:r>
                </w:p>
              </w:tc>
              <w:tc>
                <w:tcPr>
                  <w:tcW w:w="1985" w:type="dxa"/>
                  <w:vAlign w:val="center"/>
                </w:tcPr>
                <w:p w14:paraId="6708C7C1">
                  <w:r>
                    <w:rPr>
                      <w:rFonts w:hint="eastAsia"/>
                    </w:rPr>
                    <w:t>项目服务期</w:t>
                  </w:r>
                </w:p>
              </w:tc>
              <w:tc>
                <w:tcPr>
                  <w:tcW w:w="5014" w:type="dxa"/>
                </w:tcPr>
                <w:p w14:paraId="56E419A5">
                  <w:pPr>
                    <w:rPr>
                      <w:b/>
                    </w:rPr>
                  </w:pPr>
                  <w:r>
                    <w:rPr>
                      <w:rFonts w:hint="eastAsia"/>
                      <w:bCs/>
                      <w:szCs w:val="21"/>
                    </w:rPr>
                    <w:t>项目整体服务期为签订合同后1年；</w:t>
                  </w:r>
                  <w:r>
                    <w:rPr>
                      <w:rFonts w:hint="eastAsia" w:ascii="仿宋_GB2312" w:hAnsi="宋体" w:cs="宋体"/>
                      <w:kern w:val="0"/>
                      <w:szCs w:val="21"/>
                    </w:rPr>
                    <w:t>（1年后服务评价为优可续签合同，一年一签，续签期限最多不超过2年）</w:t>
                  </w:r>
                  <w:r>
                    <w:rPr>
                      <w:rFonts w:hint="eastAsia"/>
                      <w:bCs/>
                      <w:szCs w:val="21"/>
                    </w:rPr>
                    <w:t>。</w:t>
                  </w:r>
                </w:p>
              </w:tc>
            </w:tr>
            <w:tr w14:paraId="13212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103" w:type="dxa"/>
                  <w:vAlign w:val="center"/>
                </w:tcPr>
                <w:p w14:paraId="515DFBC5">
                  <w:pPr>
                    <w:jc w:val="center"/>
                    <w:rPr>
                      <w:b/>
                    </w:rPr>
                  </w:pPr>
                  <w:r>
                    <w:rPr>
                      <w:rFonts w:hint="eastAsia"/>
                      <w:b/>
                    </w:rPr>
                    <w:t>2</w:t>
                  </w:r>
                </w:p>
              </w:tc>
              <w:tc>
                <w:tcPr>
                  <w:tcW w:w="1985" w:type="dxa"/>
                  <w:vAlign w:val="center"/>
                </w:tcPr>
                <w:p w14:paraId="1D9087E4">
                  <w:r>
                    <w:rPr>
                      <w:rFonts w:hint="eastAsia"/>
                    </w:rPr>
                    <w:t>项目服务地点</w:t>
                  </w:r>
                </w:p>
              </w:tc>
              <w:tc>
                <w:tcPr>
                  <w:tcW w:w="5014" w:type="dxa"/>
                  <w:vAlign w:val="center"/>
                </w:tcPr>
                <w:p w14:paraId="4CB9E8B4">
                  <w:pPr>
                    <w:rPr>
                      <w:bCs/>
                      <w:szCs w:val="21"/>
                    </w:rPr>
                  </w:pPr>
                  <w:r>
                    <w:rPr>
                      <w:rFonts w:hint="eastAsia"/>
                      <w:bCs/>
                      <w:szCs w:val="21"/>
                    </w:rPr>
                    <w:t>南方医科大学深圳口腔医院（坪山）</w:t>
                  </w:r>
                </w:p>
              </w:tc>
            </w:tr>
            <w:tr w14:paraId="0AA02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103" w:type="dxa"/>
                  <w:vAlign w:val="center"/>
                </w:tcPr>
                <w:p w14:paraId="7A0A01FD">
                  <w:pPr>
                    <w:jc w:val="center"/>
                    <w:rPr>
                      <w:b/>
                    </w:rPr>
                  </w:pPr>
                  <w:r>
                    <w:rPr>
                      <w:rFonts w:hint="eastAsia"/>
                      <w:b/>
                    </w:rPr>
                    <w:t>3</w:t>
                  </w:r>
                </w:p>
              </w:tc>
              <w:tc>
                <w:tcPr>
                  <w:tcW w:w="1985" w:type="dxa"/>
                </w:tcPr>
                <w:p w14:paraId="6CFB3880">
                  <w:r>
                    <w:rPr>
                      <w:rFonts w:hint="eastAsia"/>
                    </w:rPr>
                    <w:t>响应及故障解决时间</w:t>
                  </w:r>
                </w:p>
              </w:tc>
              <w:tc>
                <w:tcPr>
                  <w:tcW w:w="5014" w:type="dxa"/>
                </w:tcPr>
                <w:p w14:paraId="7CB36E6C">
                  <w:pPr>
                    <w:rPr>
                      <w:bCs/>
                      <w:szCs w:val="21"/>
                    </w:rPr>
                  </w:pPr>
                  <w:r>
                    <w:rPr>
                      <w:rFonts w:hint="eastAsia" w:ascii="Calibri" w:hAnsi="Calibri" w:eastAsia="宋体" w:cs="Times New Roman"/>
                      <w:bCs/>
                      <w:szCs w:val="21"/>
                    </w:rPr>
                    <w:t>为医院提供7*24小时应急响应服务，需半小时内响应，2小时内到达医院现场</w:t>
                  </w:r>
                  <w:r>
                    <w:rPr>
                      <w:rFonts w:hint="eastAsia"/>
                      <w:bCs/>
                      <w:szCs w:val="21"/>
                    </w:rPr>
                    <w:t>。</w:t>
                  </w:r>
                </w:p>
              </w:tc>
            </w:tr>
            <w:tr w14:paraId="6CDF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103" w:type="dxa"/>
                  <w:vAlign w:val="center"/>
                </w:tcPr>
                <w:p w14:paraId="3C6D0F93">
                  <w:pPr>
                    <w:jc w:val="center"/>
                    <w:rPr>
                      <w:b/>
                    </w:rPr>
                  </w:pPr>
                  <w:r>
                    <w:rPr>
                      <w:rFonts w:hint="eastAsia"/>
                      <w:b/>
                    </w:rPr>
                    <w:t>4</w:t>
                  </w:r>
                </w:p>
              </w:tc>
              <w:tc>
                <w:tcPr>
                  <w:tcW w:w="1985" w:type="dxa"/>
                  <w:vAlign w:val="center"/>
                </w:tcPr>
                <w:p w14:paraId="3EFB452E">
                  <w:pPr>
                    <w:rPr>
                      <w:b/>
                    </w:rPr>
                  </w:pPr>
                  <w:r>
                    <w:rPr>
                      <w:rFonts w:hint="eastAsia"/>
                    </w:rPr>
                    <w:t>其他</w:t>
                  </w:r>
                </w:p>
              </w:tc>
              <w:tc>
                <w:tcPr>
                  <w:tcW w:w="5014" w:type="dxa"/>
                  <w:vAlign w:val="center"/>
                </w:tcPr>
                <w:p w14:paraId="4899DA31">
                  <w:pPr>
                    <w:rPr>
                      <w:bCs/>
                      <w:szCs w:val="21"/>
                    </w:rPr>
                  </w:pPr>
                  <w:r>
                    <w:rPr>
                      <w:rFonts w:hint="eastAsia" w:asciiTheme="minorEastAsia" w:hAnsiTheme="minorEastAsia" w:cstheme="minorEastAsia"/>
                      <w:kern w:val="0"/>
                      <w:szCs w:val="21"/>
                      <w:lang w:eastAsia="zh-Hans" w:bidi="ar"/>
                    </w:rPr>
                    <w:t>▲</w:t>
                  </w:r>
                  <w:r>
                    <w:rPr>
                      <w:rFonts w:hint="eastAsia"/>
                      <w:bCs/>
                      <w:szCs w:val="21"/>
                    </w:rPr>
                    <w:t>1.因扫描未发现安全威胁导致被上级部门或监管部门通报的，视通报的严重性进行罚款，最高每次罚款额为合同总金额的5%。</w:t>
                  </w:r>
                </w:p>
                <w:p w14:paraId="51545388">
                  <w:pPr>
                    <w:rPr>
                      <w:bCs/>
                      <w:szCs w:val="21"/>
                    </w:rPr>
                  </w:pPr>
                  <w:r>
                    <w:rPr>
                      <w:rFonts w:hint="eastAsia" w:asciiTheme="minorEastAsia" w:hAnsiTheme="minorEastAsia" w:cstheme="minorEastAsia"/>
                      <w:kern w:val="0"/>
                      <w:szCs w:val="21"/>
                      <w:lang w:eastAsia="zh-Hans" w:bidi="ar"/>
                    </w:rPr>
                    <w:t>▲</w:t>
                  </w:r>
                  <w:r>
                    <w:rPr>
                      <w:rFonts w:hint="eastAsia"/>
                      <w:bCs/>
                      <w:szCs w:val="21"/>
                    </w:rPr>
                    <w:t>2.安全工作为全面性工作，须为医院形进一步完善安全体系，监督所有信息化工作形成闭环（验收重要指标）。</w:t>
                  </w:r>
                </w:p>
                <w:p w14:paraId="2B15580E">
                  <w:pPr>
                    <w:rPr>
                      <w:b/>
                    </w:rPr>
                  </w:pPr>
                  <w:r>
                    <w:rPr>
                      <w:rFonts w:hint="eastAsia"/>
                      <w:bCs/>
                      <w:szCs w:val="21"/>
                    </w:rPr>
                    <w:t>3.按文件中的承诺，进行其他售后服务工作。</w:t>
                  </w:r>
                </w:p>
              </w:tc>
            </w:tr>
            <w:tr w14:paraId="0FBB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102" w:type="dxa"/>
                  <w:gridSpan w:val="3"/>
                </w:tcPr>
                <w:p w14:paraId="65BFF235">
                  <w:pPr>
                    <w:rPr>
                      <w:b/>
                    </w:rPr>
                  </w:pPr>
                  <w:r>
                    <w:rPr>
                      <w:rFonts w:hint="eastAsia"/>
                      <w:b/>
                    </w:rPr>
                    <w:t>（二）其他要求</w:t>
                  </w:r>
                </w:p>
              </w:tc>
            </w:tr>
            <w:tr w14:paraId="58CFA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03" w:type="dxa"/>
                  <w:vAlign w:val="center"/>
                </w:tcPr>
                <w:p w14:paraId="314152D2">
                  <w:pPr>
                    <w:jc w:val="center"/>
                    <w:rPr>
                      <w:b/>
                    </w:rPr>
                  </w:pPr>
                  <w:r>
                    <w:rPr>
                      <w:rFonts w:hint="eastAsia"/>
                      <w:b/>
                    </w:rPr>
                    <w:t>1</w:t>
                  </w:r>
                </w:p>
              </w:tc>
              <w:tc>
                <w:tcPr>
                  <w:tcW w:w="1985" w:type="dxa"/>
                  <w:vAlign w:val="center"/>
                </w:tcPr>
                <w:p w14:paraId="32130BF2">
                  <w:r>
                    <w:rPr>
                      <w:rFonts w:hint="eastAsia"/>
                    </w:rPr>
                    <w:t>关于进场</w:t>
                  </w:r>
                </w:p>
              </w:tc>
              <w:tc>
                <w:tcPr>
                  <w:tcW w:w="5014" w:type="dxa"/>
                </w:tcPr>
                <w:p w14:paraId="1FBE0B99">
                  <w:pPr>
                    <w:rPr>
                      <w:b/>
                    </w:rPr>
                  </w:pPr>
                  <w:r>
                    <w:rPr>
                      <w:rFonts w:hint="eastAsia"/>
                      <w:bCs/>
                      <w:szCs w:val="21"/>
                    </w:rPr>
                    <w:t>合同签订，并接医院通知后7个工作日内。</w:t>
                  </w:r>
                </w:p>
              </w:tc>
            </w:tr>
            <w:tr w14:paraId="5FDD2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03" w:type="dxa"/>
                  <w:vAlign w:val="center"/>
                </w:tcPr>
                <w:p w14:paraId="3155E473">
                  <w:pPr>
                    <w:jc w:val="center"/>
                    <w:rPr>
                      <w:b/>
                    </w:rPr>
                  </w:pPr>
                  <w:r>
                    <w:rPr>
                      <w:rFonts w:hint="eastAsia"/>
                      <w:b/>
                    </w:rPr>
                    <w:t>2</w:t>
                  </w:r>
                </w:p>
              </w:tc>
              <w:tc>
                <w:tcPr>
                  <w:tcW w:w="1985" w:type="dxa"/>
                  <w:vAlign w:val="center"/>
                </w:tcPr>
                <w:p w14:paraId="4729D4F0">
                  <w:r>
                    <w:rPr>
                      <w:rFonts w:hint="eastAsia"/>
                    </w:rPr>
                    <w:t>付款方式</w:t>
                  </w:r>
                </w:p>
              </w:tc>
              <w:tc>
                <w:tcPr>
                  <w:tcW w:w="5014" w:type="dxa"/>
                </w:tcPr>
                <w:p w14:paraId="2ADAC7C4">
                  <w:pPr>
                    <w:rPr>
                      <w:bCs/>
                      <w:szCs w:val="21"/>
                    </w:rPr>
                  </w:pPr>
                  <w:r>
                    <w:rPr>
                      <w:rFonts w:hint="eastAsia"/>
                      <w:bCs/>
                      <w:szCs w:val="21"/>
                    </w:rPr>
                    <w:t>(1)</w:t>
                  </w:r>
                  <w:r>
                    <w:rPr>
                      <w:rFonts w:hint="eastAsia"/>
                      <w:bCs/>
                      <w:szCs w:val="21"/>
                    </w:rPr>
                    <w:tab/>
                  </w:r>
                  <w:r>
                    <w:rPr>
                      <w:rFonts w:hint="eastAsia"/>
                      <w:bCs/>
                      <w:szCs w:val="21"/>
                    </w:rPr>
                    <w:t>合同签订生效后30日内，在收到中标人合法发票后，采购人向中标人支付合同总价30%的款项；</w:t>
                  </w:r>
                </w:p>
                <w:p w14:paraId="262E761B">
                  <w:pPr>
                    <w:rPr>
                      <w:bCs/>
                      <w:szCs w:val="21"/>
                    </w:rPr>
                  </w:pPr>
                  <w:r>
                    <w:rPr>
                      <w:rFonts w:hint="eastAsia"/>
                      <w:bCs/>
                      <w:szCs w:val="21"/>
                    </w:rPr>
                    <w:t>(2)</w:t>
                  </w:r>
                  <w:r>
                    <w:rPr>
                      <w:rFonts w:hint="eastAsia"/>
                      <w:bCs/>
                      <w:szCs w:val="21"/>
                    </w:rPr>
                    <w:tab/>
                  </w:r>
                  <w:r>
                    <w:rPr>
                      <w:rFonts w:hint="eastAsia"/>
                      <w:bCs/>
                      <w:szCs w:val="21"/>
                    </w:rPr>
                    <w:t>合同服务期满6个月后30日内，在收到中标人的运维服务清单和合法发票后，采购人向中标人支付合同总价40% 的款项；</w:t>
                  </w:r>
                </w:p>
                <w:p w14:paraId="5F75C3B9">
                  <w:pPr>
                    <w:rPr>
                      <w:bCs/>
                      <w:szCs w:val="21"/>
                    </w:rPr>
                  </w:pPr>
                  <w:r>
                    <w:rPr>
                      <w:rFonts w:hint="eastAsia"/>
                      <w:bCs/>
                      <w:szCs w:val="21"/>
                    </w:rPr>
                    <w:t>(3)</w:t>
                  </w:r>
                  <w:r>
                    <w:rPr>
                      <w:rFonts w:hint="eastAsia"/>
                      <w:bCs/>
                      <w:szCs w:val="21"/>
                    </w:rPr>
                    <w:tab/>
                  </w:r>
                  <w:r>
                    <w:rPr>
                      <w:rFonts w:hint="eastAsia"/>
                      <w:bCs/>
                      <w:szCs w:val="21"/>
                    </w:rPr>
                    <w:t>合同服务期满后30日内，经采购人验收合格后，凭运维服务清单和验收确认单，采购人向中标人支付合同总价30% 的款项。</w:t>
                  </w:r>
                </w:p>
                <w:p w14:paraId="43E268D9">
                  <w:pPr>
                    <w:rPr>
                      <w:bCs/>
                      <w:szCs w:val="21"/>
                    </w:rPr>
                  </w:pPr>
                  <w:r>
                    <w:rPr>
                      <w:rFonts w:hint="eastAsia"/>
                      <w:bCs/>
                      <w:szCs w:val="21"/>
                    </w:rPr>
                    <w:t>(4)</w:t>
                  </w:r>
                  <w:r>
                    <w:rPr>
                      <w:rFonts w:hint="eastAsia"/>
                      <w:bCs/>
                      <w:szCs w:val="21"/>
                    </w:rPr>
                    <w:tab/>
                  </w:r>
                  <w:r>
                    <w:rPr>
                      <w:rFonts w:hint="eastAsia"/>
                      <w:bCs/>
                      <w:szCs w:val="21"/>
                    </w:rPr>
                    <w:t>付款均以银行转账方式进行。</w:t>
                  </w:r>
                </w:p>
              </w:tc>
            </w:tr>
            <w:tr w14:paraId="4F91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102" w:type="dxa"/>
                  <w:gridSpan w:val="3"/>
                  <w:vAlign w:val="center"/>
                </w:tcPr>
                <w:p w14:paraId="41720E0C">
                  <w:pPr>
                    <w:rPr>
                      <w:bCs/>
                      <w:szCs w:val="21"/>
                    </w:rPr>
                  </w:pPr>
                  <w:r>
                    <w:rPr>
                      <w:rFonts w:hint="eastAsia" w:cs="宋体" w:asciiTheme="minorEastAsia" w:hAnsiTheme="minorEastAsia"/>
                      <w:kern w:val="0"/>
                      <w:szCs w:val="21"/>
                    </w:rPr>
                    <w:t>★</w:t>
                  </w:r>
                  <w:r>
                    <w:rPr>
                      <w:b/>
                      <w:lang w:eastAsia="zh-Hans"/>
                    </w:rPr>
                    <w:t>（</w:t>
                  </w:r>
                  <w:r>
                    <w:rPr>
                      <w:rFonts w:hint="eastAsia"/>
                      <w:b/>
                      <w:lang w:eastAsia="zh-Hans"/>
                    </w:rPr>
                    <w:t>三</w:t>
                  </w:r>
                  <w:r>
                    <w:rPr>
                      <w:b/>
                      <w:lang w:eastAsia="zh-Hans"/>
                    </w:rPr>
                    <w:t>）</w:t>
                  </w:r>
                  <w:r>
                    <w:rPr>
                      <w:rFonts w:hint="eastAsia"/>
                      <w:b/>
                      <w:lang w:eastAsia="zh-Hans"/>
                    </w:rPr>
                    <w:t>验收条件</w:t>
                  </w:r>
                  <w:r>
                    <w:rPr>
                      <w:rFonts w:hint="eastAsia"/>
                      <w:b/>
                    </w:rPr>
                    <w:t>及要求</w:t>
                  </w:r>
                </w:p>
              </w:tc>
            </w:tr>
            <w:tr w14:paraId="7348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8102" w:type="dxa"/>
                  <w:gridSpan w:val="3"/>
                  <w:vAlign w:val="center"/>
                </w:tcPr>
                <w:p w14:paraId="224A4098">
                  <w:pPr>
                    <w:rPr>
                      <w:rFonts w:ascii="宋体" w:hAnsi="宋体" w:cs="宋体"/>
                      <w:szCs w:val="21"/>
                    </w:rPr>
                  </w:pPr>
                  <w:r>
                    <w:rPr>
                      <w:rFonts w:hint="eastAsia"/>
                      <w:szCs w:val="21"/>
                    </w:rPr>
                    <w:t>一、中标人履约完成后应交付（包括但不限于以下内容）</w:t>
                  </w:r>
                  <w:r>
                    <w:rPr>
                      <w:szCs w:val="21"/>
                    </w:rPr>
                    <w:t>：</w:t>
                  </w:r>
                </w:p>
                <w:p w14:paraId="4B4B2CE1">
                  <w:pPr>
                    <w:rPr>
                      <w:rFonts w:ascii="宋体" w:hAnsi="宋体" w:cs="宋体"/>
                      <w:szCs w:val="21"/>
                    </w:rPr>
                  </w:pPr>
                  <w:r>
                    <w:rPr>
                      <w:rFonts w:hint="eastAsia" w:ascii="宋体" w:hAnsi="宋体" w:cs="宋体"/>
                      <w:szCs w:val="21"/>
                    </w:rPr>
                    <w:t>1.测评机构出具的等级保护测评报告</w:t>
                  </w:r>
                </w:p>
                <w:p w14:paraId="1E057F32">
                  <w:pPr>
                    <w:rPr>
                      <w:rFonts w:ascii="宋体" w:hAnsi="宋体" w:cs="宋体"/>
                      <w:szCs w:val="21"/>
                    </w:rPr>
                  </w:pPr>
                  <w:r>
                    <w:rPr>
                      <w:rFonts w:hint="eastAsia" w:ascii="宋体" w:hAnsi="宋体" w:cs="宋体"/>
                      <w:szCs w:val="21"/>
                    </w:rPr>
                    <w:t>2.《信息安全资产梳理报告》</w:t>
                  </w:r>
                </w:p>
                <w:p w14:paraId="53ED5144">
                  <w:pPr>
                    <w:rPr>
                      <w:rFonts w:ascii="宋体" w:hAnsi="宋体" w:cs="宋体"/>
                      <w:szCs w:val="21"/>
                    </w:rPr>
                  </w:pPr>
                  <w:r>
                    <w:rPr>
                      <w:rFonts w:hint="eastAsia" w:ascii="宋体" w:hAnsi="宋体" w:cs="宋体"/>
                      <w:szCs w:val="21"/>
                    </w:rPr>
                    <w:t>3.《暴露面和敏感信息表》</w:t>
                  </w:r>
                </w:p>
                <w:p w14:paraId="52538F12">
                  <w:pPr>
                    <w:rPr>
                      <w:rFonts w:ascii="宋体" w:hAnsi="宋体" w:cs="宋体"/>
                      <w:szCs w:val="21"/>
                    </w:rPr>
                  </w:pPr>
                  <w:r>
                    <w:rPr>
                      <w:rFonts w:hint="eastAsia" w:ascii="宋体" w:hAnsi="宋体" w:cs="宋体"/>
                      <w:szCs w:val="21"/>
                    </w:rPr>
                    <w:t>4.《网络数据风险评估报告》</w:t>
                  </w:r>
                </w:p>
                <w:p w14:paraId="6AA4788F">
                  <w:pPr>
                    <w:rPr>
                      <w:rFonts w:ascii="宋体" w:hAnsi="宋体" w:cs="宋体"/>
                      <w:szCs w:val="21"/>
                    </w:rPr>
                  </w:pPr>
                  <w:r>
                    <w:rPr>
                      <w:rFonts w:hint="eastAsia" w:ascii="宋体" w:hAnsi="宋体" w:cs="宋体"/>
                      <w:szCs w:val="21"/>
                    </w:rPr>
                    <w:t>5.《漏洞分析与整改报告》、《</w:t>
                  </w:r>
                  <w:r>
                    <w:rPr>
                      <w:rFonts w:hint="eastAsia" w:ascii="宋体" w:hAnsi="宋体" w:eastAsia="宋体" w:cs="宋体"/>
                      <w:kern w:val="0"/>
                      <w:szCs w:val="21"/>
                      <w:lang w:bidi="ar"/>
                    </w:rPr>
                    <w:t>漏洞处置情况报告</w:t>
                  </w:r>
                  <w:r>
                    <w:rPr>
                      <w:rFonts w:hint="eastAsia" w:ascii="宋体" w:hAnsi="宋体" w:cs="宋体"/>
                      <w:szCs w:val="21"/>
                    </w:rPr>
                    <w:t>》</w:t>
                  </w:r>
                </w:p>
                <w:p w14:paraId="42B1E9AE">
                  <w:pPr>
                    <w:rPr>
                      <w:rFonts w:ascii="宋体" w:hAnsi="宋体" w:cs="宋体"/>
                      <w:szCs w:val="21"/>
                    </w:rPr>
                  </w:pPr>
                  <w:r>
                    <w:rPr>
                      <w:rFonts w:hint="eastAsia" w:ascii="宋体" w:hAnsi="宋体" w:cs="宋体"/>
                      <w:szCs w:val="21"/>
                    </w:rPr>
                    <w:t>6.《xx渗透测试报告》、《xx系统渗透测试报告（复测）》</w:t>
                  </w:r>
                </w:p>
                <w:p w14:paraId="3E5E88FC">
                  <w:r>
                    <w:rPr>
                      <w:rFonts w:hint="eastAsia" w:ascii="宋体" w:hAnsi="宋体" w:cs="宋体"/>
                      <w:szCs w:val="21"/>
                    </w:rPr>
                    <w:t>7.《系统上线检测报告》</w:t>
                  </w:r>
                </w:p>
                <w:p w14:paraId="4BB9FE0B">
                  <w:pPr>
                    <w:rPr>
                      <w:rFonts w:ascii="宋体" w:hAnsi="宋体" w:cs="宋体"/>
                      <w:szCs w:val="21"/>
                    </w:rPr>
                  </w:pPr>
                  <w:r>
                    <w:rPr>
                      <w:rFonts w:hint="eastAsia" w:ascii="宋体" w:hAnsi="宋体" w:cs="宋体"/>
                      <w:szCs w:val="21"/>
                    </w:rPr>
                    <w:t>8.《网络安全管理制度汇编》</w:t>
                  </w:r>
                </w:p>
                <w:p w14:paraId="3953C550">
                  <w:pPr>
                    <w:rPr>
                      <w:rFonts w:ascii="宋体" w:hAnsi="宋体" w:cs="宋体"/>
                      <w:szCs w:val="21"/>
                    </w:rPr>
                  </w:pPr>
                  <w:r>
                    <w:rPr>
                      <w:rFonts w:hint="eastAsia" w:ascii="宋体" w:hAnsi="宋体" w:cs="宋体"/>
                      <w:szCs w:val="21"/>
                    </w:rPr>
                    <w:t>9.《应急预案》</w:t>
                  </w:r>
                </w:p>
                <w:p w14:paraId="5DC55551">
                  <w:pPr>
                    <w:rPr>
                      <w:rFonts w:ascii="宋体" w:hAnsi="宋体" w:cs="宋体"/>
                      <w:szCs w:val="21"/>
                    </w:rPr>
                  </w:pPr>
                  <w:r>
                    <w:rPr>
                      <w:rFonts w:hint="eastAsia" w:ascii="宋体" w:hAnsi="宋体" w:cs="宋体"/>
                      <w:szCs w:val="21"/>
                    </w:rPr>
                    <w:t>10.《实战隐患排查报告》</w:t>
                  </w:r>
                </w:p>
                <w:p w14:paraId="7666FAA9">
                  <w:r>
                    <w:rPr>
                      <w:rFonts w:hint="eastAsia" w:ascii="宋体" w:hAnsi="宋体" w:cs="宋体"/>
                      <w:szCs w:val="21"/>
                    </w:rPr>
                    <w:t>11.《安全流程督导建议》</w:t>
                  </w:r>
                </w:p>
                <w:p w14:paraId="67AB175C">
                  <w:pPr>
                    <w:rPr>
                      <w:rFonts w:ascii="宋体" w:hAnsi="宋体" w:cs="宋体"/>
                      <w:szCs w:val="21"/>
                    </w:rPr>
                  </w:pPr>
                  <w:r>
                    <w:rPr>
                      <w:rFonts w:hint="eastAsia" w:ascii="宋体" w:hAnsi="宋体" w:cs="宋体"/>
                      <w:szCs w:val="21"/>
                    </w:rPr>
                    <w:t>12.《安全意识宣贯文档》、《安全培训PPT》</w:t>
                  </w:r>
                </w:p>
                <w:p w14:paraId="29AC08E7">
                  <w:pPr>
                    <w:rPr>
                      <w:rFonts w:ascii="宋体" w:hAnsi="宋体" w:cs="宋体"/>
                      <w:szCs w:val="21"/>
                    </w:rPr>
                  </w:pPr>
                  <w:r>
                    <w:rPr>
                      <w:rFonts w:hint="eastAsia" w:ascii="宋体" w:hAnsi="宋体" w:cs="宋体"/>
                      <w:szCs w:val="21"/>
                    </w:rPr>
                    <w:t>13.《医院网站安全监测报告》</w:t>
                  </w:r>
                </w:p>
                <w:p w14:paraId="47DE4FA6">
                  <w:pPr>
                    <w:rPr>
                      <w:rFonts w:ascii="宋体" w:hAnsi="宋体" w:cs="宋体"/>
                      <w:szCs w:val="21"/>
                    </w:rPr>
                  </w:pPr>
                  <w:r>
                    <w:rPr>
                      <w:rFonts w:hint="eastAsia" w:ascii="宋体" w:hAnsi="宋体" w:cs="宋体"/>
                      <w:szCs w:val="21"/>
                    </w:rPr>
                    <w:t>14.《网络安全联合检查材料汇编》</w:t>
                  </w:r>
                </w:p>
                <w:p w14:paraId="36A262F4">
                  <w:pPr>
                    <w:rPr>
                      <w:rFonts w:ascii="宋体" w:hAnsi="宋体" w:cs="宋体"/>
                      <w:szCs w:val="21"/>
                    </w:rPr>
                  </w:pPr>
                  <w:r>
                    <w:rPr>
                      <w:rFonts w:hint="eastAsia" w:ascii="宋体" w:hAnsi="宋体" w:cs="宋体"/>
                      <w:szCs w:val="21"/>
                    </w:rPr>
                    <w:t>15.现场技术支持，包含但不限于驻场人员现场支持工作时产生的各种过程文档</w:t>
                  </w:r>
                </w:p>
                <w:p w14:paraId="0EBB07B4">
                  <w:pPr>
                    <w:rPr>
                      <w:rFonts w:ascii="宋体" w:hAnsi="宋体" w:cs="宋体"/>
                      <w:szCs w:val="21"/>
                    </w:rPr>
                  </w:pPr>
                  <w:r>
                    <w:rPr>
                      <w:rFonts w:hint="eastAsia" w:ascii="宋体" w:hAnsi="宋体" w:cs="宋体"/>
                      <w:szCs w:val="21"/>
                    </w:rPr>
                    <w:t>16.《XX事件应急响应报告》</w:t>
                  </w:r>
                </w:p>
                <w:p w14:paraId="38234ECC">
                  <w:pPr>
                    <w:rPr>
                      <w:rFonts w:ascii="宋体" w:hAnsi="宋体" w:cs="宋体"/>
                      <w:szCs w:val="21"/>
                    </w:rPr>
                  </w:pPr>
                  <w:r>
                    <w:rPr>
                      <w:rFonts w:hint="eastAsia" w:ascii="宋体" w:hAnsi="宋体" w:cs="宋体"/>
                      <w:szCs w:val="21"/>
                    </w:rPr>
                    <w:t>17.《重保保障工作总结报告》</w:t>
                  </w:r>
                </w:p>
                <w:p w14:paraId="3D92A9BF">
                  <w:pPr>
                    <w:rPr>
                      <w:rFonts w:ascii="宋体" w:hAnsi="宋体" w:cs="宋体"/>
                      <w:szCs w:val="21"/>
                    </w:rPr>
                  </w:pPr>
                  <w:r>
                    <w:rPr>
                      <w:rFonts w:hint="eastAsia" w:ascii="宋体" w:hAnsi="宋体" w:cs="宋体"/>
                      <w:szCs w:val="21"/>
                    </w:rPr>
                    <w:t>18.《安全分析及态势通报》</w:t>
                  </w:r>
                </w:p>
                <w:p w14:paraId="3E86E2B9">
                  <w:pPr>
                    <w:rPr>
                      <w:rFonts w:ascii="宋体" w:hAnsi="宋体" w:cs="宋体"/>
                      <w:szCs w:val="21"/>
                    </w:rPr>
                  </w:pPr>
                  <w:r>
                    <w:rPr>
                      <w:rFonts w:hint="eastAsia" w:ascii="宋体" w:hAnsi="宋体" w:cs="宋体"/>
                      <w:szCs w:val="21"/>
                    </w:rPr>
                    <w:t>19.《网络安全技术培训PPT》</w:t>
                  </w:r>
                </w:p>
                <w:p w14:paraId="4790ABDA">
                  <w:pPr>
                    <w:rPr>
                      <w:rFonts w:ascii="宋体" w:hAnsi="宋体" w:cs="宋体"/>
                      <w:szCs w:val="21"/>
                    </w:rPr>
                  </w:pPr>
                  <w:r>
                    <w:rPr>
                      <w:rFonts w:hint="eastAsia" w:ascii="宋体" w:hAnsi="宋体" w:cs="宋体"/>
                      <w:szCs w:val="21"/>
                    </w:rPr>
                    <w:t>20.《医院数据安全规划建设方案》</w:t>
                  </w:r>
                </w:p>
                <w:p w14:paraId="06F6BD0E">
                  <w:pPr>
                    <w:rPr>
                      <w:rFonts w:ascii="宋体" w:hAnsi="宋体" w:cs="宋体"/>
                      <w:b/>
                      <w:szCs w:val="21"/>
                    </w:rPr>
                  </w:pPr>
                  <w:r>
                    <w:rPr>
                      <w:rFonts w:hint="eastAsia" w:ascii="宋体" w:hAnsi="宋体" w:cs="宋体"/>
                      <w:b/>
                      <w:szCs w:val="21"/>
                    </w:rPr>
                    <w:t>注：以上文档按目录存放并编制成册，经中标人盖章后提交采购人审核。</w:t>
                  </w:r>
                </w:p>
                <w:p w14:paraId="42BF703E">
                  <w:pPr>
                    <w:rPr>
                      <w:rFonts w:ascii="宋体" w:hAnsi="宋体" w:cs="宋体"/>
                      <w:szCs w:val="21"/>
                    </w:rPr>
                  </w:pPr>
                  <w:r>
                    <w:rPr>
                      <w:rFonts w:hint="eastAsia" w:ascii="宋体" w:hAnsi="宋体" w:cs="宋体"/>
                      <w:szCs w:val="21"/>
                    </w:rPr>
                    <w:t>二、验收流程</w:t>
                  </w:r>
                </w:p>
                <w:p w14:paraId="08DBCCB4">
                  <w:pPr>
                    <w:rPr>
                      <w:bCs/>
                      <w:szCs w:val="21"/>
                    </w:rPr>
                  </w:pPr>
                  <w:r>
                    <w:rPr>
                      <w:rFonts w:hint="eastAsia" w:ascii="宋体" w:hAnsi="宋体" w:cs="宋体"/>
                      <w:szCs w:val="21"/>
                    </w:rPr>
                    <w:t>采购人按要求审核验收通过，签署验收合格报告，完成验收流程，并对中标单位的服务做出评价。</w:t>
                  </w:r>
                </w:p>
              </w:tc>
            </w:tr>
          </w:tbl>
          <w:p w14:paraId="4A547E10">
            <w:pPr>
              <w:rPr>
                <w:b/>
              </w:rPr>
            </w:pPr>
          </w:p>
        </w:tc>
      </w:tr>
    </w:tbl>
    <w:p w14:paraId="420BF0F1"/>
    <w:p w14:paraId="0BDCA547">
      <w:pPr>
        <w:keepNext/>
        <w:keepLines/>
        <w:spacing w:before="260" w:after="260" w:line="360" w:lineRule="auto"/>
        <w:jc w:val="both"/>
        <w:outlineLvl w:val="2"/>
        <w:rPr>
          <w:rFonts w:hint="eastAsia" w:ascii="宋体" w:hAnsi="宋体" w:eastAsia="宋体" w:cs="宋体"/>
          <w:b/>
          <w:sz w:val="36"/>
          <w:szCs w:val="36"/>
        </w:rPr>
      </w:pPr>
    </w:p>
    <w:p w14:paraId="2BA8C618">
      <w:pPr>
        <w:keepNext/>
        <w:keepLines/>
        <w:spacing w:before="260" w:after="260" w:line="360" w:lineRule="auto"/>
        <w:jc w:val="center"/>
        <w:outlineLvl w:val="2"/>
        <w:rPr>
          <w:rFonts w:ascii="宋体" w:hAnsi="宋体" w:eastAsia="宋体" w:cs="宋体"/>
          <w:b/>
          <w:sz w:val="36"/>
          <w:szCs w:val="36"/>
        </w:rPr>
      </w:pPr>
      <w:r>
        <w:rPr>
          <w:rFonts w:hint="eastAsia" w:ascii="宋体" w:hAnsi="宋体" w:eastAsia="宋体" w:cs="宋体"/>
          <w:b/>
          <w:sz w:val="36"/>
          <w:szCs w:val="36"/>
        </w:rPr>
        <w:t>政府采购投标及履约承诺函</w:t>
      </w:r>
    </w:p>
    <w:p w14:paraId="04C45B9E">
      <w:pPr>
        <w:spacing w:line="360" w:lineRule="auto"/>
        <w:ind w:firstLine="401"/>
        <w:rPr>
          <w:rFonts w:ascii="宋体" w:hAnsi="宋体" w:eastAsia="宋体" w:cs="宋体"/>
          <w:b/>
          <w:bCs/>
        </w:rPr>
      </w:pPr>
      <w:r>
        <w:rPr>
          <w:rFonts w:hint="eastAsia" w:ascii="宋体" w:hAnsi="宋体" w:eastAsia="宋体" w:cs="宋体"/>
          <w:b/>
          <w:bCs/>
        </w:rPr>
        <w:t>致：南方医科大学深圳口腔医院（坪山）</w:t>
      </w:r>
    </w:p>
    <w:p w14:paraId="7BFB6827">
      <w:pPr>
        <w:spacing w:line="360" w:lineRule="auto"/>
        <w:rPr>
          <w:rFonts w:ascii="宋体" w:hAnsi="宋体" w:eastAsia="宋体" w:cs="Times New Roman"/>
          <w:szCs w:val="21"/>
        </w:rPr>
      </w:pPr>
      <w:r>
        <w:rPr>
          <w:rFonts w:hint="eastAsia" w:ascii="宋体" w:hAnsi="宋体" w:eastAsia="宋体" w:cs="Times New Roman"/>
          <w:szCs w:val="21"/>
        </w:rPr>
        <w:t xml:space="preserve"> 我单位承诺：</w:t>
      </w:r>
    </w:p>
    <w:p w14:paraId="76D7A35D">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1.我单位参与本项目所投标（响应）的货物、工程或服务，不存在侵犯知识产权的情况。</w:t>
      </w:r>
    </w:p>
    <w:p w14:paraId="49A32916">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2.我单位参与本项目政府采购活动时不存在被有关部门禁止参与政府采购活动且在有效期内的情况。</w:t>
      </w:r>
    </w:p>
    <w:p w14:paraId="136C060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3.我单位具备《中华人民共和国政府采购法》第二十二条第一款的条件。</w:t>
      </w:r>
    </w:p>
    <w:p w14:paraId="3230675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4.我单位未被列入失信被执行人、重大税收违法案件当事人名单、政府采购严重违法失信行为记录名单。</w:t>
      </w:r>
    </w:p>
    <w:p w14:paraId="05F8D61D">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5.我单位不存在《深圳市财政局政府采购供应商信用信息管理办法》（深财规〔2023〕3号）列明的严重违法失信行为。</w:t>
      </w:r>
    </w:p>
    <w:p w14:paraId="363ACCC9">
      <w:pPr>
        <w:spacing w:line="360" w:lineRule="auto"/>
        <w:ind w:firstLine="420" w:firstLineChars="200"/>
      </w:pPr>
      <w:r>
        <w:rPr>
          <w:rFonts w:hint="eastAsia" w:ascii="宋体" w:hAnsi="宋体" w:eastAsia="宋体" w:cs="宋体"/>
        </w:rPr>
        <w:t>6.我单位及法定代表人参与政府采购项目投标近三年内（投标人成立不足三年的可从成立之日起算）在经营活动中没有重大违法记录；参与本项目投标前三年内（投标人成立不足三年的可从成立之日起算），无行贿犯罪记录。</w:t>
      </w:r>
    </w:p>
    <w:p w14:paraId="08CF01FB">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7.</w:t>
      </w:r>
      <w:bookmarkStart w:id="4" w:name="_Hlk72587269"/>
      <w:bookmarkStart w:id="5" w:name="_Hlk72587299"/>
      <w:r>
        <w:rPr>
          <w:rFonts w:hint="eastAsia" w:ascii="宋体" w:hAnsi="宋体" w:eastAsia="宋体" w:cs="Times New Roman"/>
          <w:szCs w:val="21"/>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bookmarkEnd w:id="4"/>
      <w:r>
        <w:rPr>
          <w:rFonts w:hint="eastAsia" w:ascii="宋体" w:hAnsi="宋体" w:eastAsia="宋体" w:cs="Times New Roman"/>
          <w:szCs w:val="21"/>
        </w:rPr>
        <w:t>。</w:t>
      </w:r>
    </w:p>
    <w:bookmarkEnd w:id="5"/>
    <w:p w14:paraId="088BAE30">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1A61D2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CB990CE">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做出的行政处罚。</w:t>
      </w:r>
    </w:p>
    <w:p w14:paraId="45F4D95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10.我单位承诺中标后项目不转包，未经采购人同意不进行分包。</w:t>
      </w:r>
    </w:p>
    <w:p w14:paraId="5D41F841">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11.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46DDAAC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12.我单位保证，若所投货物涉及《财政部生态环境部关于印发节能产品政府采购品目清单的通知》（财库〔2019〕19号）列明的政府采购强制产品，则所投该产品符合节能产品的认证要求。若所投产品包括数据中心相关设备的，应满足《财政部 生态环境部 工业和信息化部关于印发&lt;绿色数据中心政府采购需求标准（试行）&gt;的通知》（财库〔2023〕7号）要求。若所投产品涉及国家强制性标准的，所投产品应符合国家强制性标准相关要求。</w:t>
      </w:r>
    </w:p>
    <w:p w14:paraId="40EE8ED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13.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1AEA4DBC">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14.我单位清楚，如存在违反投标承诺行为情节严重的，将根据《深圳市财政局关于印发&lt;深圳市财政局政府采购供应商信用信息管理办法&gt;的通知》，依法被列入失信信息。</w:t>
      </w:r>
    </w:p>
    <w:p w14:paraId="29B4DC4C">
      <w:pPr>
        <w:spacing w:line="360" w:lineRule="auto"/>
        <w:ind w:firstLine="420" w:firstLineChars="200"/>
      </w:pPr>
      <w:r>
        <w:rPr>
          <w:rFonts w:hint="eastAsia" w:ascii="宋体" w:hAnsi="宋体" w:eastAsia="宋体" w:cs="宋体"/>
        </w:rPr>
        <w:t>15.我单位承诺投标文件中提供的检测报告载明的检测事项未超出该检测机构被合规认定的检测范围。如存在提供的检测报告检测事项超出机构检测范围的，评审委员会有权作扣分处理，如对应条款为实质性要求的，则评审委员会有权作无效投标处理。</w:t>
      </w:r>
    </w:p>
    <w:p w14:paraId="1A740F87">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16.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14:paraId="71845F31">
      <w:pPr>
        <w:spacing w:line="360" w:lineRule="auto"/>
        <w:rPr>
          <w:rFonts w:ascii="宋体" w:hAnsi="宋体"/>
          <w:szCs w:val="21"/>
        </w:rPr>
      </w:pPr>
    </w:p>
    <w:p w14:paraId="7E44E0FE">
      <w:pPr>
        <w:spacing w:line="360" w:lineRule="auto"/>
        <w:ind w:firstLine="420" w:firstLineChars="200"/>
        <w:rPr>
          <w:rFonts w:ascii="宋体" w:hAnsi="宋体"/>
          <w:szCs w:val="21"/>
        </w:rPr>
      </w:pPr>
      <w:r>
        <w:rPr>
          <w:rFonts w:hint="eastAsia" w:ascii="宋体" w:hAnsi="宋体"/>
          <w:szCs w:val="21"/>
        </w:rPr>
        <w:t>以上承诺，如有违反，愿依照国家相关法律处理，并承担由此给采购人带来的损失。</w:t>
      </w:r>
    </w:p>
    <w:p w14:paraId="33787CC4">
      <w:pPr>
        <w:spacing w:line="360" w:lineRule="auto"/>
        <w:ind w:firstLine="420" w:firstLineChars="200"/>
        <w:jc w:val="right"/>
        <w:rPr>
          <w:rFonts w:ascii="宋体" w:hAnsi="宋体"/>
          <w:szCs w:val="21"/>
        </w:rPr>
      </w:pPr>
      <w:r>
        <w:rPr>
          <w:rFonts w:hint="eastAsia" w:ascii="宋体" w:hAnsi="宋体"/>
          <w:szCs w:val="21"/>
        </w:rPr>
        <w:t>投标人（盖公章）：</w:t>
      </w:r>
    </w:p>
    <w:p w14:paraId="305734DC">
      <w:pPr>
        <w:spacing w:line="360" w:lineRule="auto"/>
        <w:ind w:firstLine="420" w:firstLineChars="200"/>
        <w:jc w:val="right"/>
        <w:rPr>
          <w:rFonts w:ascii="宋体" w:hAnsi="宋体"/>
          <w:szCs w:val="21"/>
          <w:u w:val="single"/>
        </w:rPr>
      </w:pPr>
      <w:r>
        <w:rPr>
          <w:rFonts w:hint="eastAsia" w:ascii="宋体" w:hAnsi="宋体"/>
          <w:szCs w:val="21"/>
        </w:rPr>
        <w:t>法人代表或被授权人签字：</w:t>
      </w:r>
    </w:p>
    <w:p w14:paraId="1C93A49B">
      <w:pPr>
        <w:wordWrap w:val="0"/>
        <w:spacing w:line="360" w:lineRule="auto"/>
        <w:ind w:firstLine="420" w:firstLineChars="200"/>
        <w:jc w:val="right"/>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671E8920">
      <w:r>
        <w:br w:type="page"/>
      </w:r>
    </w:p>
    <w:p w14:paraId="197F8105">
      <w:pPr>
        <w:keepNext/>
        <w:keepLines/>
        <w:spacing w:before="120" w:after="120" w:line="360" w:lineRule="auto"/>
        <w:ind w:firstLine="687"/>
        <w:jc w:val="center"/>
        <w:outlineLvl w:val="2"/>
        <w:rPr>
          <w:rFonts w:ascii="宋体" w:hAnsi="宋体" w:eastAsia="宋体" w:cs="宋体"/>
          <w:b/>
          <w:sz w:val="36"/>
          <w:szCs w:val="36"/>
        </w:rPr>
      </w:pPr>
      <w:r>
        <w:rPr>
          <w:rFonts w:hint="eastAsia" w:ascii="宋体" w:hAnsi="宋体" w:eastAsia="宋体" w:cs="宋体"/>
          <w:b/>
          <w:sz w:val="36"/>
          <w:szCs w:val="36"/>
        </w:rPr>
        <w:t>供应商基本情况表</w:t>
      </w:r>
    </w:p>
    <w:p w14:paraId="4B8561FA">
      <w:pPr>
        <w:spacing w:line="360" w:lineRule="auto"/>
        <w:rPr>
          <w:rFonts w:ascii="宋体" w:hAnsi="宋体" w:eastAsia="宋体" w:cs="宋体"/>
          <w:bCs/>
        </w:rPr>
      </w:pPr>
      <w:r>
        <w:rPr>
          <w:rFonts w:hint="eastAsia" w:ascii="宋体" w:hAnsi="宋体" w:eastAsia="宋体" w:cs="宋体"/>
        </w:rPr>
        <w:t>填表单位：（加盖单位公章）</w:t>
      </w:r>
      <w:r>
        <w:rPr>
          <w:rFonts w:hint="eastAsia" w:ascii="宋体" w:hAnsi="宋体" w:eastAsia="宋体" w:cs="宋体"/>
        </w:rPr>
        <w:tab/>
      </w:r>
      <w:r>
        <w:rPr>
          <w:rFonts w:hint="eastAsia" w:ascii="宋体" w:hAnsi="宋体" w:eastAsia="宋体" w:cs="宋体"/>
        </w:rPr>
        <w:tab/>
      </w:r>
      <w:r>
        <w:rPr>
          <w:rFonts w:hint="eastAsia" w:ascii="宋体" w:hAnsi="宋体" w:eastAsia="宋体" w:cs="宋体"/>
        </w:rPr>
        <w:t xml:space="preserve">    填表日期：    年   月   日</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759"/>
        <w:gridCol w:w="1399"/>
        <w:gridCol w:w="907"/>
        <w:gridCol w:w="752"/>
        <w:gridCol w:w="1254"/>
        <w:gridCol w:w="1317"/>
        <w:gridCol w:w="1416"/>
      </w:tblGrid>
      <w:tr w14:paraId="0AFE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vAlign w:val="center"/>
          </w:tcPr>
          <w:p w14:paraId="570C8065">
            <w:pPr>
              <w:jc w:val="center"/>
              <w:rPr>
                <w:rFonts w:ascii="宋体" w:hAnsi="宋体" w:eastAsia="宋体" w:cs="宋体"/>
              </w:rPr>
            </w:pPr>
            <w:r>
              <w:rPr>
                <w:rFonts w:hint="eastAsia" w:ascii="宋体" w:hAnsi="宋体" w:eastAsia="宋体" w:cs="宋体"/>
              </w:rPr>
              <w:t>采购人</w:t>
            </w:r>
          </w:p>
        </w:tc>
        <w:tc>
          <w:tcPr>
            <w:tcW w:w="2308" w:type="dxa"/>
            <w:gridSpan w:val="2"/>
            <w:vAlign w:val="center"/>
          </w:tcPr>
          <w:p w14:paraId="15A694F6">
            <w:pPr>
              <w:jc w:val="center"/>
              <w:rPr>
                <w:rFonts w:ascii="宋体" w:hAnsi="宋体" w:eastAsia="宋体" w:cs="宋体"/>
              </w:rPr>
            </w:pPr>
            <w:r>
              <w:rPr>
                <w:rFonts w:hint="eastAsia" w:ascii="宋体" w:hAnsi="宋体" w:eastAsia="宋体" w:cs="宋体"/>
              </w:rPr>
              <w:t>南方医科大学深圳口腔医院（坪山）</w:t>
            </w:r>
          </w:p>
        </w:tc>
        <w:tc>
          <w:tcPr>
            <w:tcW w:w="2008" w:type="dxa"/>
            <w:gridSpan w:val="2"/>
            <w:vAlign w:val="center"/>
          </w:tcPr>
          <w:p w14:paraId="32AD54EB">
            <w:pPr>
              <w:jc w:val="center"/>
              <w:rPr>
                <w:rFonts w:ascii="宋体" w:hAnsi="宋体" w:eastAsia="宋体" w:cs="宋体"/>
              </w:rPr>
            </w:pPr>
            <w:r>
              <w:rPr>
                <w:rFonts w:hint="eastAsia" w:ascii="宋体" w:hAnsi="宋体" w:eastAsia="宋体" w:cs="宋体"/>
              </w:rPr>
              <w:t>项目名称</w:t>
            </w:r>
          </w:p>
        </w:tc>
        <w:tc>
          <w:tcPr>
            <w:tcW w:w="2735" w:type="dxa"/>
            <w:gridSpan w:val="2"/>
            <w:vAlign w:val="center"/>
          </w:tcPr>
          <w:p w14:paraId="3E9F9403">
            <w:pPr>
              <w:jc w:val="center"/>
              <w:rPr>
                <w:rFonts w:ascii="宋体" w:hAnsi="宋体" w:eastAsia="宋体" w:cs="宋体"/>
              </w:rPr>
            </w:pPr>
          </w:p>
        </w:tc>
      </w:tr>
      <w:tr w14:paraId="4E66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78" w:type="dxa"/>
            <w:gridSpan w:val="2"/>
            <w:shd w:val="clear" w:color="auto" w:fill="auto"/>
            <w:vAlign w:val="center"/>
          </w:tcPr>
          <w:p w14:paraId="4F2CF405">
            <w:pPr>
              <w:jc w:val="center"/>
              <w:rPr>
                <w:rFonts w:ascii="宋体" w:hAnsi="宋体" w:eastAsia="宋体" w:cs="宋体"/>
              </w:rPr>
            </w:pPr>
            <w:r>
              <w:rPr>
                <w:rFonts w:hint="eastAsia" w:ascii="宋体" w:hAnsi="宋体" w:eastAsia="宋体" w:cs="宋体"/>
              </w:rPr>
              <w:t>投标（响应）供应商</w:t>
            </w:r>
          </w:p>
        </w:tc>
        <w:tc>
          <w:tcPr>
            <w:tcW w:w="2308" w:type="dxa"/>
            <w:gridSpan w:val="2"/>
            <w:shd w:val="clear" w:color="auto" w:fill="auto"/>
            <w:vAlign w:val="center"/>
          </w:tcPr>
          <w:p w14:paraId="0A9A526A">
            <w:pPr>
              <w:jc w:val="center"/>
              <w:rPr>
                <w:rFonts w:ascii="宋体" w:hAnsi="宋体" w:eastAsia="宋体" w:cs="宋体"/>
              </w:rPr>
            </w:pPr>
          </w:p>
        </w:tc>
        <w:tc>
          <w:tcPr>
            <w:tcW w:w="2008" w:type="dxa"/>
            <w:gridSpan w:val="2"/>
            <w:shd w:val="clear" w:color="auto" w:fill="auto"/>
            <w:vAlign w:val="center"/>
          </w:tcPr>
          <w:p w14:paraId="5D5863E1">
            <w:pPr>
              <w:jc w:val="center"/>
              <w:rPr>
                <w:rFonts w:ascii="宋体" w:hAnsi="宋体" w:eastAsia="宋体" w:cs="宋体"/>
              </w:rPr>
            </w:pPr>
            <w:r>
              <w:rPr>
                <w:rFonts w:hint="eastAsia" w:ascii="宋体" w:hAnsi="宋体" w:eastAsia="宋体" w:cs="宋体"/>
              </w:rPr>
              <w:t>供应商统一社会信用代码</w:t>
            </w:r>
          </w:p>
        </w:tc>
        <w:tc>
          <w:tcPr>
            <w:tcW w:w="2735" w:type="dxa"/>
            <w:gridSpan w:val="2"/>
            <w:vAlign w:val="center"/>
          </w:tcPr>
          <w:p w14:paraId="22FC917F">
            <w:pPr>
              <w:jc w:val="center"/>
              <w:rPr>
                <w:rFonts w:ascii="宋体" w:hAnsi="宋体" w:eastAsia="宋体" w:cs="宋体"/>
              </w:rPr>
            </w:pPr>
          </w:p>
        </w:tc>
      </w:tr>
      <w:tr w14:paraId="5A44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4C184611">
            <w:pPr>
              <w:jc w:val="center"/>
              <w:rPr>
                <w:rFonts w:ascii="宋体" w:hAnsi="宋体" w:eastAsia="宋体" w:cs="宋体"/>
              </w:rPr>
            </w:pPr>
            <w:r>
              <w:rPr>
                <w:rFonts w:hint="eastAsia" w:ascii="宋体" w:hAnsi="宋体" w:eastAsia="宋体" w:cs="宋体"/>
              </w:rPr>
              <w:t>投标（响应）供应商相关人员情况</w:t>
            </w:r>
          </w:p>
        </w:tc>
      </w:tr>
      <w:tr w14:paraId="0CF6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1CB77870">
            <w:pPr>
              <w:jc w:val="center"/>
              <w:rPr>
                <w:rFonts w:ascii="宋体" w:hAnsi="宋体" w:eastAsia="宋体" w:cs="宋体"/>
              </w:rPr>
            </w:pPr>
            <w:r>
              <w:rPr>
                <w:rFonts w:hint="eastAsia" w:ascii="宋体" w:hAnsi="宋体" w:eastAsia="宋体" w:cs="宋体"/>
              </w:rPr>
              <w:t>序号</w:t>
            </w:r>
          </w:p>
        </w:tc>
        <w:tc>
          <w:tcPr>
            <w:tcW w:w="2160" w:type="dxa"/>
            <w:gridSpan w:val="2"/>
            <w:tcBorders>
              <w:bottom w:val="single" w:color="auto" w:sz="4" w:space="0"/>
            </w:tcBorders>
            <w:vAlign w:val="center"/>
          </w:tcPr>
          <w:p w14:paraId="45942FE3">
            <w:pPr>
              <w:jc w:val="center"/>
              <w:rPr>
                <w:rFonts w:ascii="宋体" w:hAnsi="宋体" w:eastAsia="宋体" w:cs="宋体"/>
              </w:rPr>
            </w:pPr>
            <w:r>
              <w:rPr>
                <w:rFonts w:hint="eastAsia" w:ascii="宋体" w:hAnsi="宋体" w:eastAsia="宋体" w:cs="宋体"/>
              </w:rPr>
              <w:t>职务</w:t>
            </w:r>
          </w:p>
        </w:tc>
        <w:tc>
          <w:tcPr>
            <w:tcW w:w="908" w:type="dxa"/>
            <w:tcBorders>
              <w:bottom w:val="single" w:color="auto" w:sz="4" w:space="0"/>
            </w:tcBorders>
            <w:vAlign w:val="center"/>
          </w:tcPr>
          <w:p w14:paraId="60FDF114">
            <w:pPr>
              <w:jc w:val="center"/>
              <w:rPr>
                <w:rFonts w:ascii="宋体" w:hAnsi="宋体" w:eastAsia="宋体" w:cs="宋体"/>
              </w:rPr>
            </w:pPr>
            <w:r>
              <w:rPr>
                <w:rFonts w:hint="eastAsia" w:ascii="宋体" w:hAnsi="宋体" w:eastAsia="宋体" w:cs="宋体"/>
              </w:rPr>
              <w:t>姓名</w:t>
            </w:r>
          </w:p>
        </w:tc>
        <w:tc>
          <w:tcPr>
            <w:tcW w:w="2008" w:type="dxa"/>
            <w:gridSpan w:val="2"/>
            <w:tcBorders>
              <w:bottom w:val="single" w:color="auto" w:sz="4" w:space="0"/>
            </w:tcBorders>
            <w:vAlign w:val="center"/>
          </w:tcPr>
          <w:p w14:paraId="09166F66">
            <w:pPr>
              <w:jc w:val="center"/>
              <w:rPr>
                <w:rFonts w:ascii="宋体" w:hAnsi="宋体" w:eastAsia="宋体" w:cs="宋体"/>
              </w:rPr>
            </w:pPr>
            <w:r>
              <w:rPr>
                <w:rFonts w:hint="eastAsia" w:ascii="宋体" w:hAnsi="宋体" w:eastAsia="宋体" w:cs="宋体"/>
              </w:rPr>
              <w:t>身份证号码</w:t>
            </w:r>
          </w:p>
        </w:tc>
        <w:tc>
          <w:tcPr>
            <w:tcW w:w="1318" w:type="dxa"/>
            <w:tcBorders>
              <w:bottom w:val="single" w:color="auto" w:sz="4" w:space="0"/>
            </w:tcBorders>
            <w:vAlign w:val="center"/>
          </w:tcPr>
          <w:p w14:paraId="3CBC5B72">
            <w:pPr>
              <w:jc w:val="center"/>
              <w:rPr>
                <w:rFonts w:ascii="宋体" w:hAnsi="宋体" w:eastAsia="宋体" w:cs="宋体"/>
              </w:rPr>
            </w:pPr>
            <w:r>
              <w:rPr>
                <w:rFonts w:hint="eastAsia" w:ascii="宋体" w:hAnsi="宋体" w:eastAsia="宋体" w:cs="宋体"/>
              </w:rPr>
              <w:t>劳动合同</w:t>
            </w:r>
          </w:p>
          <w:p w14:paraId="210CF184">
            <w:pPr>
              <w:jc w:val="center"/>
              <w:rPr>
                <w:rFonts w:ascii="宋体" w:hAnsi="宋体" w:eastAsia="宋体" w:cs="宋体"/>
              </w:rPr>
            </w:pPr>
            <w:r>
              <w:rPr>
                <w:rFonts w:hint="eastAsia" w:ascii="宋体" w:hAnsi="宋体" w:eastAsia="宋体" w:cs="宋体"/>
              </w:rPr>
              <w:t>关系单位</w:t>
            </w:r>
          </w:p>
        </w:tc>
        <w:tc>
          <w:tcPr>
            <w:tcW w:w="1417" w:type="dxa"/>
            <w:tcBorders>
              <w:bottom w:val="single" w:color="auto" w:sz="4" w:space="0"/>
            </w:tcBorders>
            <w:vAlign w:val="center"/>
          </w:tcPr>
          <w:p w14:paraId="089A2B46">
            <w:pPr>
              <w:jc w:val="center"/>
              <w:rPr>
                <w:rFonts w:ascii="宋体" w:hAnsi="宋体" w:eastAsia="宋体" w:cs="宋体"/>
              </w:rPr>
            </w:pPr>
            <w:r>
              <w:rPr>
                <w:rFonts w:hint="eastAsia" w:ascii="宋体" w:hAnsi="宋体" w:eastAsia="宋体" w:cs="宋体"/>
              </w:rPr>
              <w:t>缴纳社会</w:t>
            </w:r>
          </w:p>
          <w:p w14:paraId="1D7AD980">
            <w:pPr>
              <w:jc w:val="center"/>
              <w:rPr>
                <w:rFonts w:ascii="宋体" w:hAnsi="宋体" w:eastAsia="宋体" w:cs="宋体"/>
              </w:rPr>
            </w:pPr>
            <w:r>
              <w:rPr>
                <w:rFonts w:hint="eastAsia" w:ascii="宋体" w:hAnsi="宋体" w:eastAsia="宋体" w:cs="宋体"/>
              </w:rPr>
              <w:t>保险单位</w:t>
            </w:r>
          </w:p>
        </w:tc>
      </w:tr>
      <w:tr w14:paraId="25CE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700D0408">
            <w:pPr>
              <w:jc w:val="center"/>
              <w:rPr>
                <w:rFonts w:ascii="宋体" w:hAnsi="宋体" w:eastAsia="宋体" w:cs="宋体"/>
              </w:rPr>
            </w:pPr>
            <w:r>
              <w:rPr>
                <w:rFonts w:hint="eastAsia" w:ascii="宋体" w:hAnsi="宋体" w:eastAsia="宋体" w:cs="宋体"/>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3E60A516">
            <w:pPr>
              <w:jc w:val="center"/>
              <w:rPr>
                <w:rFonts w:ascii="宋体" w:hAnsi="宋体" w:eastAsia="宋体" w:cs="宋体"/>
              </w:rPr>
            </w:pPr>
            <w:r>
              <w:rPr>
                <w:rFonts w:hint="eastAsia" w:ascii="宋体" w:hAnsi="宋体" w:eastAsia="宋体" w:cs="宋体"/>
              </w:rPr>
              <w:t>法定代表人/单位负责人/主要经营负责人</w:t>
            </w:r>
          </w:p>
        </w:tc>
        <w:tc>
          <w:tcPr>
            <w:tcW w:w="908" w:type="dxa"/>
            <w:tcBorders>
              <w:top w:val="single" w:color="auto" w:sz="4" w:space="0"/>
              <w:left w:val="single" w:color="auto" w:sz="4" w:space="0"/>
              <w:bottom w:val="single" w:color="auto" w:sz="4" w:space="0"/>
              <w:right w:val="single" w:color="auto" w:sz="4" w:space="0"/>
            </w:tcBorders>
            <w:vAlign w:val="center"/>
          </w:tcPr>
          <w:p w14:paraId="1CAA1257">
            <w:pPr>
              <w:jc w:val="center"/>
              <w:rPr>
                <w:rFonts w:ascii="宋体" w:hAnsi="宋体" w:eastAsia="宋体" w:cs="宋体"/>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38E42CF">
            <w:pPr>
              <w:jc w:val="center"/>
              <w:rPr>
                <w:rFonts w:ascii="宋体" w:hAnsi="宋体" w:eastAsia="宋体" w:cs="宋体"/>
                <w:sz w:val="18"/>
                <w:szCs w:val="18"/>
              </w:rPr>
            </w:pPr>
          </w:p>
        </w:tc>
        <w:tc>
          <w:tcPr>
            <w:tcW w:w="1318" w:type="dxa"/>
            <w:tcBorders>
              <w:top w:val="single" w:color="auto" w:sz="4" w:space="0"/>
              <w:left w:val="single" w:color="auto" w:sz="4" w:space="0"/>
              <w:bottom w:val="single" w:color="auto" w:sz="4" w:space="0"/>
              <w:right w:val="single" w:color="auto" w:sz="4" w:space="0"/>
            </w:tcBorders>
            <w:vAlign w:val="center"/>
          </w:tcPr>
          <w:p w14:paraId="43A5E9AC">
            <w:pPr>
              <w:jc w:val="center"/>
              <w:rPr>
                <w:rFonts w:ascii="宋体" w:hAnsi="宋体" w:eastAsia="宋体" w:cs="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4F024998">
            <w:pPr>
              <w:jc w:val="center"/>
              <w:rPr>
                <w:rFonts w:ascii="宋体" w:hAnsi="宋体" w:eastAsia="宋体" w:cs="宋体"/>
              </w:rPr>
            </w:pPr>
          </w:p>
        </w:tc>
      </w:tr>
      <w:tr w14:paraId="266DB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7165D5CF">
            <w:pPr>
              <w:jc w:val="center"/>
              <w:rPr>
                <w:rFonts w:ascii="宋体" w:hAnsi="宋体" w:eastAsia="宋体" w:cs="宋体"/>
              </w:rPr>
            </w:pPr>
            <w:r>
              <w:rPr>
                <w:rFonts w:hint="eastAsia" w:ascii="宋体" w:hAnsi="宋体" w:eastAsia="宋体" w:cs="宋体"/>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6AC849C7">
            <w:pPr>
              <w:jc w:val="center"/>
              <w:rPr>
                <w:rFonts w:ascii="宋体" w:hAnsi="宋体" w:eastAsia="宋体" w:cs="宋体"/>
              </w:rPr>
            </w:pPr>
            <w:r>
              <w:rPr>
                <w:rFonts w:hint="eastAsia" w:ascii="宋体" w:hAnsi="宋体" w:eastAsia="宋体" w:cs="宋体"/>
              </w:rPr>
              <w:t>项目投标授权代表人</w:t>
            </w:r>
          </w:p>
        </w:tc>
        <w:tc>
          <w:tcPr>
            <w:tcW w:w="908" w:type="dxa"/>
            <w:tcBorders>
              <w:top w:val="single" w:color="auto" w:sz="4" w:space="0"/>
              <w:left w:val="single" w:color="auto" w:sz="4" w:space="0"/>
              <w:bottom w:val="single" w:color="auto" w:sz="4" w:space="0"/>
              <w:right w:val="single" w:color="auto" w:sz="4" w:space="0"/>
            </w:tcBorders>
            <w:vAlign w:val="center"/>
          </w:tcPr>
          <w:p w14:paraId="20C34092">
            <w:pPr>
              <w:jc w:val="center"/>
              <w:rPr>
                <w:rFonts w:ascii="宋体" w:hAnsi="宋体" w:eastAsia="宋体" w:cs="宋体"/>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D90DC74">
            <w:pPr>
              <w:jc w:val="center"/>
              <w:rPr>
                <w:rFonts w:ascii="宋体" w:hAnsi="宋体" w:eastAsia="宋体" w:cs="宋体"/>
                <w:sz w:val="18"/>
                <w:szCs w:val="18"/>
              </w:rPr>
            </w:pPr>
          </w:p>
        </w:tc>
        <w:tc>
          <w:tcPr>
            <w:tcW w:w="1318" w:type="dxa"/>
            <w:tcBorders>
              <w:top w:val="single" w:color="auto" w:sz="4" w:space="0"/>
              <w:left w:val="single" w:color="auto" w:sz="4" w:space="0"/>
              <w:bottom w:val="single" w:color="auto" w:sz="4" w:space="0"/>
              <w:right w:val="single" w:color="auto" w:sz="4" w:space="0"/>
            </w:tcBorders>
            <w:vAlign w:val="center"/>
          </w:tcPr>
          <w:p w14:paraId="39664FEB">
            <w:pPr>
              <w:jc w:val="center"/>
              <w:rPr>
                <w:rFonts w:ascii="宋体" w:hAnsi="宋体" w:eastAsia="宋体" w:cs="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2514B4ED">
            <w:pPr>
              <w:jc w:val="center"/>
              <w:rPr>
                <w:rFonts w:ascii="宋体" w:hAnsi="宋体" w:eastAsia="宋体" w:cs="宋体"/>
              </w:rPr>
            </w:pPr>
          </w:p>
        </w:tc>
      </w:tr>
      <w:tr w14:paraId="1C66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tcBorders>
            <w:vAlign w:val="center"/>
          </w:tcPr>
          <w:p w14:paraId="5A2C1793">
            <w:pPr>
              <w:jc w:val="center"/>
              <w:rPr>
                <w:rFonts w:ascii="宋体" w:hAnsi="宋体" w:eastAsia="宋体" w:cs="宋体"/>
              </w:rPr>
            </w:pPr>
            <w:r>
              <w:rPr>
                <w:rFonts w:hint="eastAsia" w:ascii="宋体" w:hAnsi="宋体" w:eastAsia="宋体" w:cs="宋体"/>
              </w:rPr>
              <w:t>3</w:t>
            </w:r>
          </w:p>
        </w:tc>
        <w:tc>
          <w:tcPr>
            <w:tcW w:w="2160" w:type="dxa"/>
            <w:gridSpan w:val="2"/>
            <w:tcBorders>
              <w:top w:val="single" w:color="auto" w:sz="4" w:space="0"/>
            </w:tcBorders>
            <w:vAlign w:val="center"/>
          </w:tcPr>
          <w:p w14:paraId="6891574A">
            <w:pPr>
              <w:jc w:val="center"/>
              <w:rPr>
                <w:rFonts w:ascii="宋体" w:hAnsi="宋体" w:eastAsia="宋体" w:cs="宋体"/>
              </w:rPr>
            </w:pPr>
            <w:r>
              <w:rPr>
                <w:rFonts w:hint="eastAsia" w:ascii="宋体" w:hAnsi="宋体" w:eastAsia="宋体" w:cs="宋体"/>
              </w:rPr>
              <w:t>项目负责人</w:t>
            </w:r>
          </w:p>
        </w:tc>
        <w:tc>
          <w:tcPr>
            <w:tcW w:w="908" w:type="dxa"/>
            <w:tcBorders>
              <w:top w:val="single" w:color="auto" w:sz="4" w:space="0"/>
            </w:tcBorders>
            <w:vAlign w:val="center"/>
          </w:tcPr>
          <w:p w14:paraId="2ACE9983">
            <w:pPr>
              <w:jc w:val="center"/>
              <w:rPr>
                <w:rFonts w:ascii="宋体" w:hAnsi="宋体" w:eastAsia="宋体" w:cs="宋体"/>
              </w:rPr>
            </w:pPr>
          </w:p>
        </w:tc>
        <w:tc>
          <w:tcPr>
            <w:tcW w:w="2008" w:type="dxa"/>
            <w:gridSpan w:val="2"/>
            <w:tcBorders>
              <w:top w:val="single" w:color="auto" w:sz="4" w:space="0"/>
            </w:tcBorders>
            <w:vAlign w:val="center"/>
          </w:tcPr>
          <w:p w14:paraId="52E3F215">
            <w:pPr>
              <w:jc w:val="center"/>
              <w:rPr>
                <w:rFonts w:ascii="宋体" w:hAnsi="宋体" w:eastAsia="宋体" w:cs="宋体"/>
                <w:sz w:val="18"/>
                <w:szCs w:val="18"/>
              </w:rPr>
            </w:pPr>
          </w:p>
        </w:tc>
        <w:tc>
          <w:tcPr>
            <w:tcW w:w="1318" w:type="dxa"/>
            <w:tcBorders>
              <w:top w:val="single" w:color="auto" w:sz="4" w:space="0"/>
            </w:tcBorders>
            <w:vAlign w:val="center"/>
          </w:tcPr>
          <w:p w14:paraId="0DCAF203">
            <w:pPr>
              <w:jc w:val="center"/>
              <w:rPr>
                <w:rFonts w:ascii="宋体" w:hAnsi="宋体" w:eastAsia="宋体" w:cs="宋体"/>
              </w:rPr>
            </w:pPr>
          </w:p>
        </w:tc>
        <w:tc>
          <w:tcPr>
            <w:tcW w:w="1417" w:type="dxa"/>
            <w:tcBorders>
              <w:top w:val="single" w:color="auto" w:sz="4" w:space="0"/>
            </w:tcBorders>
            <w:vAlign w:val="center"/>
          </w:tcPr>
          <w:p w14:paraId="3DB32386">
            <w:pPr>
              <w:jc w:val="center"/>
              <w:rPr>
                <w:rFonts w:ascii="宋体" w:hAnsi="宋体" w:eastAsia="宋体" w:cs="宋体"/>
              </w:rPr>
            </w:pPr>
          </w:p>
        </w:tc>
      </w:tr>
      <w:tr w14:paraId="36DA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276D4210">
            <w:pPr>
              <w:jc w:val="center"/>
              <w:rPr>
                <w:rFonts w:ascii="宋体" w:hAnsi="宋体" w:eastAsia="宋体" w:cs="宋体"/>
              </w:rPr>
            </w:pPr>
            <w:r>
              <w:rPr>
                <w:rFonts w:hint="eastAsia" w:ascii="宋体" w:hAnsi="宋体" w:eastAsia="宋体" w:cs="宋体"/>
              </w:rPr>
              <w:t>4</w:t>
            </w:r>
          </w:p>
        </w:tc>
        <w:tc>
          <w:tcPr>
            <w:tcW w:w="2160" w:type="dxa"/>
            <w:gridSpan w:val="2"/>
            <w:vAlign w:val="center"/>
          </w:tcPr>
          <w:p w14:paraId="258C19BC">
            <w:pPr>
              <w:jc w:val="center"/>
              <w:rPr>
                <w:rFonts w:ascii="宋体" w:hAnsi="宋体" w:eastAsia="宋体" w:cs="宋体"/>
              </w:rPr>
            </w:pPr>
            <w:r>
              <w:rPr>
                <w:rFonts w:hint="eastAsia" w:ascii="宋体" w:hAnsi="宋体" w:eastAsia="宋体" w:cs="宋体"/>
              </w:rPr>
              <w:t>主要技术人员</w:t>
            </w:r>
          </w:p>
        </w:tc>
        <w:tc>
          <w:tcPr>
            <w:tcW w:w="908" w:type="dxa"/>
            <w:vAlign w:val="center"/>
          </w:tcPr>
          <w:p w14:paraId="0AC40470">
            <w:pPr>
              <w:jc w:val="center"/>
              <w:rPr>
                <w:rFonts w:ascii="宋体" w:hAnsi="宋体" w:eastAsia="宋体" w:cs="宋体"/>
              </w:rPr>
            </w:pPr>
          </w:p>
        </w:tc>
        <w:tc>
          <w:tcPr>
            <w:tcW w:w="2008" w:type="dxa"/>
            <w:gridSpan w:val="2"/>
            <w:vAlign w:val="center"/>
          </w:tcPr>
          <w:p w14:paraId="1CEAE693">
            <w:pPr>
              <w:jc w:val="center"/>
              <w:rPr>
                <w:rFonts w:ascii="宋体" w:hAnsi="宋体" w:eastAsia="宋体" w:cs="宋体"/>
                <w:sz w:val="18"/>
                <w:szCs w:val="18"/>
              </w:rPr>
            </w:pPr>
          </w:p>
        </w:tc>
        <w:tc>
          <w:tcPr>
            <w:tcW w:w="1318" w:type="dxa"/>
            <w:vAlign w:val="center"/>
          </w:tcPr>
          <w:p w14:paraId="7A9C5D7B">
            <w:pPr>
              <w:jc w:val="center"/>
              <w:rPr>
                <w:rFonts w:ascii="宋体" w:hAnsi="宋体" w:eastAsia="宋体" w:cs="宋体"/>
              </w:rPr>
            </w:pPr>
          </w:p>
        </w:tc>
        <w:tc>
          <w:tcPr>
            <w:tcW w:w="1417" w:type="dxa"/>
            <w:vAlign w:val="center"/>
          </w:tcPr>
          <w:p w14:paraId="5BBB2DD8">
            <w:pPr>
              <w:jc w:val="center"/>
              <w:rPr>
                <w:rFonts w:ascii="宋体" w:hAnsi="宋体" w:eastAsia="宋体" w:cs="宋体"/>
              </w:rPr>
            </w:pPr>
          </w:p>
        </w:tc>
      </w:tr>
      <w:tr w14:paraId="11EB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vAlign w:val="center"/>
          </w:tcPr>
          <w:p w14:paraId="7C9A779F">
            <w:pPr>
              <w:jc w:val="center"/>
              <w:rPr>
                <w:rFonts w:ascii="宋体" w:hAnsi="宋体" w:eastAsia="宋体" w:cs="宋体"/>
              </w:rPr>
            </w:pPr>
            <w:r>
              <w:rPr>
                <w:rFonts w:hint="eastAsia" w:ascii="宋体" w:hAnsi="宋体" w:eastAsia="宋体" w:cs="宋体"/>
              </w:rPr>
              <w:t>5</w:t>
            </w:r>
          </w:p>
        </w:tc>
        <w:tc>
          <w:tcPr>
            <w:tcW w:w="2160" w:type="dxa"/>
            <w:gridSpan w:val="2"/>
            <w:vAlign w:val="center"/>
          </w:tcPr>
          <w:p w14:paraId="4CEC19C1">
            <w:pPr>
              <w:jc w:val="center"/>
              <w:rPr>
                <w:rFonts w:ascii="宋体" w:hAnsi="宋体" w:eastAsia="宋体" w:cs="宋体"/>
              </w:rPr>
            </w:pPr>
            <w:r>
              <w:rPr>
                <w:rFonts w:hint="eastAsia" w:ascii="宋体" w:hAnsi="宋体" w:eastAsia="宋体" w:cs="宋体"/>
              </w:rPr>
              <w:t>投标文件编制人员</w:t>
            </w:r>
          </w:p>
        </w:tc>
        <w:tc>
          <w:tcPr>
            <w:tcW w:w="908" w:type="dxa"/>
            <w:vAlign w:val="center"/>
          </w:tcPr>
          <w:p w14:paraId="18A4D8DB">
            <w:pPr>
              <w:jc w:val="center"/>
              <w:rPr>
                <w:rFonts w:ascii="宋体" w:hAnsi="宋体" w:eastAsia="宋体" w:cs="宋体"/>
              </w:rPr>
            </w:pPr>
          </w:p>
        </w:tc>
        <w:tc>
          <w:tcPr>
            <w:tcW w:w="2008" w:type="dxa"/>
            <w:gridSpan w:val="2"/>
            <w:vAlign w:val="center"/>
          </w:tcPr>
          <w:p w14:paraId="072017F0">
            <w:pPr>
              <w:jc w:val="center"/>
              <w:rPr>
                <w:rFonts w:ascii="宋体" w:hAnsi="宋体" w:eastAsia="宋体" w:cs="宋体"/>
                <w:sz w:val="18"/>
                <w:szCs w:val="18"/>
              </w:rPr>
            </w:pPr>
          </w:p>
        </w:tc>
        <w:tc>
          <w:tcPr>
            <w:tcW w:w="1318" w:type="dxa"/>
            <w:vAlign w:val="center"/>
          </w:tcPr>
          <w:p w14:paraId="75430583">
            <w:pPr>
              <w:jc w:val="center"/>
              <w:rPr>
                <w:rFonts w:ascii="宋体" w:hAnsi="宋体" w:eastAsia="宋体" w:cs="宋体"/>
              </w:rPr>
            </w:pPr>
          </w:p>
        </w:tc>
        <w:tc>
          <w:tcPr>
            <w:tcW w:w="1417" w:type="dxa"/>
            <w:vAlign w:val="center"/>
          </w:tcPr>
          <w:p w14:paraId="27375CB1">
            <w:pPr>
              <w:jc w:val="center"/>
              <w:rPr>
                <w:rFonts w:ascii="宋体" w:hAnsi="宋体" w:eastAsia="宋体" w:cs="宋体"/>
              </w:rPr>
            </w:pPr>
          </w:p>
        </w:tc>
      </w:tr>
      <w:tr w14:paraId="4051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9" w:type="dxa"/>
            <w:gridSpan w:val="8"/>
            <w:vAlign w:val="center"/>
          </w:tcPr>
          <w:p w14:paraId="196E8785">
            <w:pPr>
              <w:jc w:val="center"/>
              <w:rPr>
                <w:rFonts w:ascii="宋体" w:hAnsi="宋体" w:eastAsia="宋体" w:cs="宋体"/>
              </w:rPr>
            </w:pPr>
            <w:r>
              <w:rPr>
                <w:rFonts w:hint="eastAsia" w:ascii="宋体" w:hAnsi="宋体" w:eastAsia="宋体" w:cs="宋体"/>
              </w:rPr>
              <w:t>说明：同一职务有多人担任（如主要技术人员），应分行填写。</w:t>
            </w:r>
          </w:p>
        </w:tc>
      </w:tr>
      <w:tr w14:paraId="0721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8529" w:type="dxa"/>
            <w:gridSpan w:val="8"/>
            <w:vAlign w:val="center"/>
          </w:tcPr>
          <w:p w14:paraId="17508594">
            <w:pPr>
              <w:jc w:val="center"/>
              <w:rPr>
                <w:rFonts w:ascii="宋体" w:hAnsi="宋体" w:eastAsia="宋体" w:cs="宋体"/>
              </w:rPr>
            </w:pPr>
            <w:r>
              <w:rPr>
                <w:rFonts w:hint="eastAsia" w:ascii="宋体" w:hAnsi="宋体" w:eastAsia="宋体" w:cs="宋体"/>
              </w:rPr>
              <w:t>投标（响应）供应商关联关系情况</w:t>
            </w:r>
          </w:p>
        </w:tc>
      </w:tr>
      <w:tr w14:paraId="2DB4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bottom w:val="single" w:color="auto" w:sz="4" w:space="0"/>
            </w:tcBorders>
            <w:vAlign w:val="center"/>
          </w:tcPr>
          <w:p w14:paraId="200FC082">
            <w:pPr>
              <w:jc w:val="center"/>
              <w:rPr>
                <w:rFonts w:ascii="宋体" w:hAnsi="宋体" w:eastAsia="宋体" w:cs="宋体"/>
              </w:rPr>
            </w:pPr>
            <w:r>
              <w:rPr>
                <w:rFonts w:hint="eastAsia" w:ascii="宋体" w:hAnsi="宋体" w:eastAsia="宋体" w:cs="宋体"/>
              </w:rPr>
              <w:t>序号</w:t>
            </w:r>
          </w:p>
        </w:tc>
        <w:tc>
          <w:tcPr>
            <w:tcW w:w="2160" w:type="dxa"/>
            <w:gridSpan w:val="2"/>
            <w:tcBorders>
              <w:bottom w:val="single" w:color="auto" w:sz="4" w:space="0"/>
            </w:tcBorders>
            <w:vAlign w:val="center"/>
          </w:tcPr>
          <w:p w14:paraId="1758F8BF">
            <w:pPr>
              <w:jc w:val="center"/>
              <w:rPr>
                <w:rFonts w:ascii="宋体" w:hAnsi="宋体" w:eastAsia="宋体" w:cs="宋体"/>
              </w:rPr>
            </w:pPr>
            <w:r>
              <w:rPr>
                <w:rFonts w:hint="eastAsia" w:ascii="宋体" w:hAnsi="宋体" w:eastAsia="宋体" w:cs="宋体"/>
              </w:rPr>
              <w:t>关联关系类型</w:t>
            </w:r>
          </w:p>
        </w:tc>
        <w:tc>
          <w:tcPr>
            <w:tcW w:w="1661" w:type="dxa"/>
            <w:gridSpan w:val="2"/>
            <w:tcBorders>
              <w:bottom w:val="single" w:color="auto" w:sz="4" w:space="0"/>
            </w:tcBorders>
            <w:vAlign w:val="center"/>
          </w:tcPr>
          <w:p w14:paraId="4B4B6FBC">
            <w:pPr>
              <w:jc w:val="center"/>
              <w:rPr>
                <w:rFonts w:ascii="宋体" w:hAnsi="宋体" w:eastAsia="宋体" w:cs="宋体"/>
              </w:rPr>
            </w:pPr>
            <w:r>
              <w:rPr>
                <w:rFonts w:hint="eastAsia" w:ascii="宋体" w:hAnsi="宋体" w:eastAsia="宋体" w:cs="宋体"/>
              </w:rPr>
              <w:t>关联主体名称</w:t>
            </w:r>
          </w:p>
        </w:tc>
        <w:tc>
          <w:tcPr>
            <w:tcW w:w="3990" w:type="dxa"/>
            <w:gridSpan w:val="3"/>
            <w:tcBorders>
              <w:bottom w:val="single" w:color="auto" w:sz="4" w:space="0"/>
            </w:tcBorders>
            <w:vAlign w:val="center"/>
          </w:tcPr>
          <w:p w14:paraId="280A498D">
            <w:pPr>
              <w:jc w:val="center"/>
              <w:rPr>
                <w:rFonts w:ascii="宋体" w:hAnsi="宋体" w:eastAsia="宋体" w:cs="宋体"/>
              </w:rPr>
            </w:pPr>
            <w:r>
              <w:rPr>
                <w:rFonts w:hint="eastAsia" w:ascii="宋体" w:hAnsi="宋体" w:eastAsia="宋体" w:cs="宋体"/>
              </w:rPr>
              <w:t>备注</w:t>
            </w:r>
          </w:p>
        </w:tc>
      </w:tr>
      <w:tr w14:paraId="314E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8" w:type="dxa"/>
            <w:tcBorders>
              <w:top w:val="single" w:color="auto" w:sz="4" w:space="0"/>
              <w:left w:val="single" w:color="auto" w:sz="4" w:space="0"/>
              <w:bottom w:val="single" w:color="auto" w:sz="4" w:space="0"/>
              <w:right w:val="single" w:color="auto" w:sz="4" w:space="0"/>
            </w:tcBorders>
            <w:vAlign w:val="center"/>
          </w:tcPr>
          <w:p w14:paraId="00AA571A">
            <w:pPr>
              <w:jc w:val="center"/>
              <w:rPr>
                <w:rFonts w:ascii="宋体" w:hAnsi="宋体" w:eastAsia="宋体" w:cs="宋体"/>
              </w:rPr>
            </w:pPr>
            <w:r>
              <w:rPr>
                <w:rFonts w:hint="eastAsia" w:ascii="宋体" w:hAnsi="宋体" w:eastAsia="宋体" w:cs="宋体"/>
              </w:rPr>
              <w:t>1</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21DC271C">
            <w:pPr>
              <w:jc w:val="center"/>
              <w:rPr>
                <w:rFonts w:ascii="宋体" w:hAnsi="宋体" w:eastAsia="宋体" w:cs="宋体"/>
              </w:rPr>
            </w:pPr>
            <w:r>
              <w:rPr>
                <w:rFonts w:hint="eastAsia" w:ascii="宋体" w:hAnsi="宋体" w:eastAsia="宋体" w:cs="宋体"/>
              </w:rPr>
              <w:t>控股股东</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15D52C86">
            <w:pPr>
              <w:jc w:val="center"/>
              <w:rPr>
                <w:rFonts w:ascii="宋体" w:hAnsi="宋体" w:eastAsia="宋体" w:cs="宋体"/>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2E19DD5F">
            <w:pPr>
              <w:jc w:val="center"/>
              <w:rPr>
                <w:rFonts w:ascii="宋体" w:hAnsi="宋体" w:eastAsia="宋体" w:cs="宋体"/>
              </w:rPr>
            </w:pPr>
            <w:r>
              <w:rPr>
                <w:rFonts w:hint="eastAsia" w:ascii="宋体" w:hAnsi="宋体" w:eastAsia="宋体" w:cs="宋体"/>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D464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718" w:type="dxa"/>
            <w:tcBorders>
              <w:top w:val="single" w:color="auto" w:sz="4" w:space="0"/>
              <w:left w:val="single" w:color="auto" w:sz="4" w:space="0"/>
              <w:bottom w:val="single" w:color="auto" w:sz="4" w:space="0"/>
              <w:right w:val="single" w:color="auto" w:sz="4" w:space="0"/>
            </w:tcBorders>
            <w:vAlign w:val="center"/>
          </w:tcPr>
          <w:p w14:paraId="2347487E">
            <w:pPr>
              <w:jc w:val="center"/>
              <w:rPr>
                <w:rFonts w:ascii="宋体" w:hAnsi="宋体" w:eastAsia="宋体" w:cs="宋体"/>
              </w:rPr>
            </w:pPr>
            <w:r>
              <w:rPr>
                <w:rFonts w:hint="eastAsia" w:ascii="宋体" w:hAnsi="宋体" w:eastAsia="宋体" w:cs="宋体"/>
              </w:rPr>
              <w:t>2</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00B4BC9E">
            <w:pPr>
              <w:jc w:val="center"/>
              <w:rPr>
                <w:rFonts w:ascii="宋体" w:hAnsi="宋体" w:eastAsia="宋体" w:cs="宋体"/>
              </w:rPr>
            </w:pPr>
            <w:r>
              <w:rPr>
                <w:rFonts w:hint="eastAsia" w:ascii="宋体" w:hAnsi="宋体" w:eastAsia="宋体" w:cs="宋体"/>
              </w:rPr>
              <w:t>管理关系</w:t>
            </w:r>
          </w:p>
        </w:tc>
        <w:tc>
          <w:tcPr>
            <w:tcW w:w="1661" w:type="dxa"/>
            <w:gridSpan w:val="2"/>
            <w:tcBorders>
              <w:top w:val="single" w:color="auto" w:sz="4" w:space="0"/>
              <w:left w:val="single" w:color="auto" w:sz="4" w:space="0"/>
              <w:bottom w:val="single" w:color="auto" w:sz="4" w:space="0"/>
              <w:right w:val="single" w:color="auto" w:sz="4" w:space="0"/>
            </w:tcBorders>
            <w:vAlign w:val="center"/>
          </w:tcPr>
          <w:p w14:paraId="30B4A306">
            <w:pPr>
              <w:jc w:val="center"/>
              <w:rPr>
                <w:rFonts w:ascii="宋体" w:hAnsi="宋体" w:eastAsia="宋体" w:cs="宋体"/>
              </w:rPr>
            </w:pPr>
          </w:p>
        </w:tc>
        <w:tc>
          <w:tcPr>
            <w:tcW w:w="3990" w:type="dxa"/>
            <w:gridSpan w:val="3"/>
            <w:tcBorders>
              <w:top w:val="single" w:color="auto" w:sz="4" w:space="0"/>
              <w:left w:val="single" w:color="auto" w:sz="4" w:space="0"/>
              <w:bottom w:val="single" w:color="auto" w:sz="4" w:space="0"/>
              <w:right w:val="single" w:color="auto" w:sz="4" w:space="0"/>
            </w:tcBorders>
            <w:vAlign w:val="center"/>
          </w:tcPr>
          <w:p w14:paraId="1CDEE00F">
            <w:pPr>
              <w:jc w:val="center"/>
              <w:rPr>
                <w:rFonts w:ascii="宋体" w:hAnsi="宋体" w:eastAsia="宋体" w:cs="宋体"/>
              </w:rPr>
            </w:pPr>
            <w:r>
              <w:rPr>
                <w:rFonts w:hint="eastAsia" w:ascii="宋体" w:hAnsi="宋体" w:eastAsia="宋体" w:cs="宋体"/>
              </w:rPr>
              <w:t>指对投标（响应）供应商不具有出资持股关系，但对其存在管理关系的主体。</w:t>
            </w:r>
          </w:p>
        </w:tc>
      </w:tr>
      <w:tr w14:paraId="58FD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8529" w:type="dxa"/>
            <w:gridSpan w:val="8"/>
            <w:tcBorders>
              <w:top w:val="single" w:color="auto" w:sz="4" w:space="0"/>
              <w:left w:val="single" w:color="auto" w:sz="4" w:space="0"/>
              <w:bottom w:val="single" w:color="auto" w:sz="4" w:space="0"/>
              <w:right w:val="single" w:color="auto" w:sz="4" w:space="0"/>
            </w:tcBorders>
            <w:vAlign w:val="center"/>
          </w:tcPr>
          <w:p w14:paraId="7D69A575">
            <w:pPr>
              <w:ind w:firstLine="401"/>
              <w:jc w:val="left"/>
              <w:rPr>
                <w:rFonts w:ascii="宋体" w:hAnsi="宋体" w:eastAsia="宋体" w:cs="宋体"/>
              </w:rPr>
            </w:pPr>
            <w:r>
              <w:rPr>
                <w:rFonts w:hint="eastAsia" w:ascii="宋体" w:hAnsi="宋体" w:eastAsia="宋体" w:cs="宋体"/>
                <w:b/>
                <w:bCs/>
              </w:rPr>
              <w:t>说明：同一关联关系类型有多个主体的，应分行填写。</w:t>
            </w:r>
          </w:p>
        </w:tc>
      </w:tr>
    </w:tbl>
    <w:p w14:paraId="0D8F3963"/>
    <w:p w14:paraId="15804EA7"/>
    <w:p w14:paraId="5FACC704">
      <w:pPr>
        <w:pStyle w:val="2"/>
      </w:pPr>
    </w:p>
    <w:p w14:paraId="051888A4">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EC5792"/>
    <w:multiLevelType w:val="singleLevel"/>
    <w:tmpl w:val="81EC579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AE9"/>
    <w:rsid w:val="00003634"/>
    <w:rsid w:val="000044BC"/>
    <w:rsid w:val="00005A3C"/>
    <w:rsid w:val="00006180"/>
    <w:rsid w:val="000106EB"/>
    <w:rsid w:val="00012EE5"/>
    <w:rsid w:val="00017971"/>
    <w:rsid w:val="000210C9"/>
    <w:rsid w:val="00022396"/>
    <w:rsid w:val="00024218"/>
    <w:rsid w:val="00024A31"/>
    <w:rsid w:val="00027F1A"/>
    <w:rsid w:val="00040D64"/>
    <w:rsid w:val="00042112"/>
    <w:rsid w:val="00046274"/>
    <w:rsid w:val="000473FF"/>
    <w:rsid w:val="00050BF6"/>
    <w:rsid w:val="00055166"/>
    <w:rsid w:val="00060D4F"/>
    <w:rsid w:val="00061B01"/>
    <w:rsid w:val="00062B73"/>
    <w:rsid w:val="00063B47"/>
    <w:rsid w:val="00071483"/>
    <w:rsid w:val="0007437E"/>
    <w:rsid w:val="00076D57"/>
    <w:rsid w:val="0007768D"/>
    <w:rsid w:val="00081625"/>
    <w:rsid w:val="00081840"/>
    <w:rsid w:val="00081DCA"/>
    <w:rsid w:val="00084873"/>
    <w:rsid w:val="00093990"/>
    <w:rsid w:val="00096B4C"/>
    <w:rsid w:val="00097F39"/>
    <w:rsid w:val="000A0793"/>
    <w:rsid w:val="000A334F"/>
    <w:rsid w:val="000B405A"/>
    <w:rsid w:val="000B4939"/>
    <w:rsid w:val="000B53F6"/>
    <w:rsid w:val="000B5C11"/>
    <w:rsid w:val="000C1635"/>
    <w:rsid w:val="000C3C06"/>
    <w:rsid w:val="000C4D3B"/>
    <w:rsid w:val="000C5BD2"/>
    <w:rsid w:val="000C7B22"/>
    <w:rsid w:val="000D0B15"/>
    <w:rsid w:val="000D3D07"/>
    <w:rsid w:val="000D5954"/>
    <w:rsid w:val="000E24AF"/>
    <w:rsid w:val="000F0342"/>
    <w:rsid w:val="000F1131"/>
    <w:rsid w:val="000F2912"/>
    <w:rsid w:val="000F4B73"/>
    <w:rsid w:val="000F6DE9"/>
    <w:rsid w:val="000F6ECB"/>
    <w:rsid w:val="00100612"/>
    <w:rsid w:val="00101C85"/>
    <w:rsid w:val="001032B7"/>
    <w:rsid w:val="001057B5"/>
    <w:rsid w:val="001076B3"/>
    <w:rsid w:val="00111F90"/>
    <w:rsid w:val="001221C6"/>
    <w:rsid w:val="00133E7D"/>
    <w:rsid w:val="0013706B"/>
    <w:rsid w:val="00142893"/>
    <w:rsid w:val="001503DC"/>
    <w:rsid w:val="0015379A"/>
    <w:rsid w:val="00162B46"/>
    <w:rsid w:val="001640D5"/>
    <w:rsid w:val="0016608D"/>
    <w:rsid w:val="00171162"/>
    <w:rsid w:val="001719E7"/>
    <w:rsid w:val="0017382F"/>
    <w:rsid w:val="001818F0"/>
    <w:rsid w:val="0018247A"/>
    <w:rsid w:val="00185417"/>
    <w:rsid w:val="0018666A"/>
    <w:rsid w:val="00187EE9"/>
    <w:rsid w:val="00191450"/>
    <w:rsid w:val="00191CF3"/>
    <w:rsid w:val="001967B4"/>
    <w:rsid w:val="001A02FA"/>
    <w:rsid w:val="001A049C"/>
    <w:rsid w:val="001A2817"/>
    <w:rsid w:val="001A4F9D"/>
    <w:rsid w:val="001A72B9"/>
    <w:rsid w:val="001B069C"/>
    <w:rsid w:val="001B2990"/>
    <w:rsid w:val="001B6C45"/>
    <w:rsid w:val="001C1A48"/>
    <w:rsid w:val="001C37D5"/>
    <w:rsid w:val="001C6F88"/>
    <w:rsid w:val="001D171F"/>
    <w:rsid w:val="001D7F4B"/>
    <w:rsid w:val="001E01F8"/>
    <w:rsid w:val="001E6A63"/>
    <w:rsid w:val="001E77E9"/>
    <w:rsid w:val="001F52AF"/>
    <w:rsid w:val="0020242F"/>
    <w:rsid w:val="00206B02"/>
    <w:rsid w:val="00206BEF"/>
    <w:rsid w:val="00207D83"/>
    <w:rsid w:val="00210227"/>
    <w:rsid w:val="00225EB5"/>
    <w:rsid w:val="00226B08"/>
    <w:rsid w:val="00227E12"/>
    <w:rsid w:val="00230FBA"/>
    <w:rsid w:val="002357AD"/>
    <w:rsid w:val="00236A92"/>
    <w:rsid w:val="00237E82"/>
    <w:rsid w:val="00243C1B"/>
    <w:rsid w:val="002500AB"/>
    <w:rsid w:val="00250E77"/>
    <w:rsid w:val="00252A73"/>
    <w:rsid w:val="00252CE1"/>
    <w:rsid w:val="00254BAE"/>
    <w:rsid w:val="002554F1"/>
    <w:rsid w:val="00257AFD"/>
    <w:rsid w:val="00260B5F"/>
    <w:rsid w:val="002639FF"/>
    <w:rsid w:val="002653D6"/>
    <w:rsid w:val="0026640B"/>
    <w:rsid w:val="00266845"/>
    <w:rsid w:val="002672C2"/>
    <w:rsid w:val="002678F0"/>
    <w:rsid w:val="00277842"/>
    <w:rsid w:val="00277F64"/>
    <w:rsid w:val="00284D25"/>
    <w:rsid w:val="00287206"/>
    <w:rsid w:val="002876E2"/>
    <w:rsid w:val="002902D8"/>
    <w:rsid w:val="00290E3F"/>
    <w:rsid w:val="002918F2"/>
    <w:rsid w:val="00291FD5"/>
    <w:rsid w:val="00296C3F"/>
    <w:rsid w:val="002A0E6D"/>
    <w:rsid w:val="002A0FFC"/>
    <w:rsid w:val="002A5544"/>
    <w:rsid w:val="002A63BB"/>
    <w:rsid w:val="002A6525"/>
    <w:rsid w:val="002B36E7"/>
    <w:rsid w:val="002B5648"/>
    <w:rsid w:val="002B5E09"/>
    <w:rsid w:val="002B5ECA"/>
    <w:rsid w:val="002B6E40"/>
    <w:rsid w:val="002C20AE"/>
    <w:rsid w:val="002C335B"/>
    <w:rsid w:val="002C6CDD"/>
    <w:rsid w:val="002D1C4F"/>
    <w:rsid w:val="002D27ED"/>
    <w:rsid w:val="002D566E"/>
    <w:rsid w:val="002E340A"/>
    <w:rsid w:val="002E54DD"/>
    <w:rsid w:val="002E7442"/>
    <w:rsid w:val="002F076D"/>
    <w:rsid w:val="002F299C"/>
    <w:rsid w:val="002F4520"/>
    <w:rsid w:val="002F6D1D"/>
    <w:rsid w:val="00301720"/>
    <w:rsid w:val="003019B0"/>
    <w:rsid w:val="00302C81"/>
    <w:rsid w:val="00303128"/>
    <w:rsid w:val="0030385D"/>
    <w:rsid w:val="003056E4"/>
    <w:rsid w:val="003060A3"/>
    <w:rsid w:val="00311384"/>
    <w:rsid w:val="0031483D"/>
    <w:rsid w:val="0032096F"/>
    <w:rsid w:val="00320A7E"/>
    <w:rsid w:val="00321F67"/>
    <w:rsid w:val="003223D3"/>
    <w:rsid w:val="003233B7"/>
    <w:rsid w:val="00331E39"/>
    <w:rsid w:val="0033377A"/>
    <w:rsid w:val="00334579"/>
    <w:rsid w:val="00336590"/>
    <w:rsid w:val="00342AC5"/>
    <w:rsid w:val="003441F6"/>
    <w:rsid w:val="0035076A"/>
    <w:rsid w:val="00352FF0"/>
    <w:rsid w:val="00355B29"/>
    <w:rsid w:val="00360E24"/>
    <w:rsid w:val="00361299"/>
    <w:rsid w:val="00361CC6"/>
    <w:rsid w:val="0036201A"/>
    <w:rsid w:val="00363931"/>
    <w:rsid w:val="00370DF4"/>
    <w:rsid w:val="0037313E"/>
    <w:rsid w:val="0037494A"/>
    <w:rsid w:val="0037521A"/>
    <w:rsid w:val="0037564B"/>
    <w:rsid w:val="00375696"/>
    <w:rsid w:val="0037668B"/>
    <w:rsid w:val="003766BB"/>
    <w:rsid w:val="00377ACB"/>
    <w:rsid w:val="00383228"/>
    <w:rsid w:val="003839B5"/>
    <w:rsid w:val="00390626"/>
    <w:rsid w:val="0039342F"/>
    <w:rsid w:val="00394830"/>
    <w:rsid w:val="003A0C79"/>
    <w:rsid w:val="003A31C5"/>
    <w:rsid w:val="003A38A0"/>
    <w:rsid w:val="003A46FA"/>
    <w:rsid w:val="003A5378"/>
    <w:rsid w:val="003A602F"/>
    <w:rsid w:val="003A61C6"/>
    <w:rsid w:val="003A62FA"/>
    <w:rsid w:val="003B338F"/>
    <w:rsid w:val="003B6607"/>
    <w:rsid w:val="003C2FF7"/>
    <w:rsid w:val="003C4AD3"/>
    <w:rsid w:val="003C4E9E"/>
    <w:rsid w:val="003D0224"/>
    <w:rsid w:val="003D2D47"/>
    <w:rsid w:val="003D3DA4"/>
    <w:rsid w:val="003D410A"/>
    <w:rsid w:val="003D4336"/>
    <w:rsid w:val="003D4974"/>
    <w:rsid w:val="003D5565"/>
    <w:rsid w:val="003E462A"/>
    <w:rsid w:val="003F371C"/>
    <w:rsid w:val="00405F2E"/>
    <w:rsid w:val="00407D1B"/>
    <w:rsid w:val="00416EAB"/>
    <w:rsid w:val="00417349"/>
    <w:rsid w:val="0042359D"/>
    <w:rsid w:val="00425D12"/>
    <w:rsid w:val="00425E00"/>
    <w:rsid w:val="00427892"/>
    <w:rsid w:val="0043050C"/>
    <w:rsid w:val="004334A7"/>
    <w:rsid w:val="00435F5A"/>
    <w:rsid w:val="00441374"/>
    <w:rsid w:val="00441DFD"/>
    <w:rsid w:val="00442812"/>
    <w:rsid w:val="00444170"/>
    <w:rsid w:val="00444F08"/>
    <w:rsid w:val="00445E3F"/>
    <w:rsid w:val="00447077"/>
    <w:rsid w:val="00447BFC"/>
    <w:rsid w:val="00452FA7"/>
    <w:rsid w:val="00455005"/>
    <w:rsid w:val="0045505A"/>
    <w:rsid w:val="004563F7"/>
    <w:rsid w:val="00460633"/>
    <w:rsid w:val="00460960"/>
    <w:rsid w:val="00461517"/>
    <w:rsid w:val="004628E1"/>
    <w:rsid w:val="00462C27"/>
    <w:rsid w:val="00470B6F"/>
    <w:rsid w:val="00471A3B"/>
    <w:rsid w:val="004731F5"/>
    <w:rsid w:val="00473781"/>
    <w:rsid w:val="00475C7F"/>
    <w:rsid w:val="00476019"/>
    <w:rsid w:val="0047631A"/>
    <w:rsid w:val="004814E3"/>
    <w:rsid w:val="0048350A"/>
    <w:rsid w:val="00483C6D"/>
    <w:rsid w:val="00486FCA"/>
    <w:rsid w:val="004935AF"/>
    <w:rsid w:val="004958A6"/>
    <w:rsid w:val="004A14E0"/>
    <w:rsid w:val="004A16A1"/>
    <w:rsid w:val="004A6496"/>
    <w:rsid w:val="004A7252"/>
    <w:rsid w:val="004B0BB6"/>
    <w:rsid w:val="004B6D27"/>
    <w:rsid w:val="004C0736"/>
    <w:rsid w:val="004C2143"/>
    <w:rsid w:val="004C218C"/>
    <w:rsid w:val="004C2EEF"/>
    <w:rsid w:val="004C3F84"/>
    <w:rsid w:val="004C5CAF"/>
    <w:rsid w:val="004C63B4"/>
    <w:rsid w:val="004C66C0"/>
    <w:rsid w:val="004D2483"/>
    <w:rsid w:val="004D24BD"/>
    <w:rsid w:val="004D3AE3"/>
    <w:rsid w:val="004D4370"/>
    <w:rsid w:val="004D716B"/>
    <w:rsid w:val="004E7C1A"/>
    <w:rsid w:val="004F16C5"/>
    <w:rsid w:val="004F7DD5"/>
    <w:rsid w:val="00500A3A"/>
    <w:rsid w:val="00500EA4"/>
    <w:rsid w:val="00507A3D"/>
    <w:rsid w:val="0051104B"/>
    <w:rsid w:val="00513F12"/>
    <w:rsid w:val="00520D63"/>
    <w:rsid w:val="00521192"/>
    <w:rsid w:val="00521D19"/>
    <w:rsid w:val="00523FB3"/>
    <w:rsid w:val="00524EDA"/>
    <w:rsid w:val="005250F0"/>
    <w:rsid w:val="005271EB"/>
    <w:rsid w:val="005305BB"/>
    <w:rsid w:val="00530D69"/>
    <w:rsid w:val="005320C4"/>
    <w:rsid w:val="00537283"/>
    <w:rsid w:val="00545A25"/>
    <w:rsid w:val="00546EEC"/>
    <w:rsid w:val="0055545A"/>
    <w:rsid w:val="0056006D"/>
    <w:rsid w:val="00560AEC"/>
    <w:rsid w:val="00561185"/>
    <w:rsid w:val="0056286D"/>
    <w:rsid w:val="0056393D"/>
    <w:rsid w:val="00563B8F"/>
    <w:rsid w:val="005640CD"/>
    <w:rsid w:val="00566B08"/>
    <w:rsid w:val="005679AE"/>
    <w:rsid w:val="0057501A"/>
    <w:rsid w:val="00576E1B"/>
    <w:rsid w:val="00577C38"/>
    <w:rsid w:val="0058115E"/>
    <w:rsid w:val="00581524"/>
    <w:rsid w:val="005842CA"/>
    <w:rsid w:val="005911AF"/>
    <w:rsid w:val="005918D8"/>
    <w:rsid w:val="0059288C"/>
    <w:rsid w:val="00594DBA"/>
    <w:rsid w:val="005A0558"/>
    <w:rsid w:val="005A12EF"/>
    <w:rsid w:val="005A138E"/>
    <w:rsid w:val="005A2D91"/>
    <w:rsid w:val="005A4CB8"/>
    <w:rsid w:val="005A5604"/>
    <w:rsid w:val="005A6BD1"/>
    <w:rsid w:val="005A6E97"/>
    <w:rsid w:val="005A7F1A"/>
    <w:rsid w:val="005B067D"/>
    <w:rsid w:val="005B087E"/>
    <w:rsid w:val="005B5ABC"/>
    <w:rsid w:val="005C368A"/>
    <w:rsid w:val="005C580F"/>
    <w:rsid w:val="005C6994"/>
    <w:rsid w:val="005C71D1"/>
    <w:rsid w:val="005D55FC"/>
    <w:rsid w:val="005D5AE9"/>
    <w:rsid w:val="005E0213"/>
    <w:rsid w:val="005E06EF"/>
    <w:rsid w:val="005E1B85"/>
    <w:rsid w:val="005F1640"/>
    <w:rsid w:val="005F1D5A"/>
    <w:rsid w:val="005F4E94"/>
    <w:rsid w:val="005F7362"/>
    <w:rsid w:val="00602450"/>
    <w:rsid w:val="00607094"/>
    <w:rsid w:val="00612B56"/>
    <w:rsid w:val="00615A7A"/>
    <w:rsid w:val="006163AD"/>
    <w:rsid w:val="00616B14"/>
    <w:rsid w:val="006204AC"/>
    <w:rsid w:val="006242FD"/>
    <w:rsid w:val="0062540C"/>
    <w:rsid w:val="006327BB"/>
    <w:rsid w:val="00632953"/>
    <w:rsid w:val="00632E3F"/>
    <w:rsid w:val="00633C9D"/>
    <w:rsid w:val="0063463D"/>
    <w:rsid w:val="00636C55"/>
    <w:rsid w:val="00643136"/>
    <w:rsid w:val="00646556"/>
    <w:rsid w:val="00646CC9"/>
    <w:rsid w:val="00647F39"/>
    <w:rsid w:val="006616C6"/>
    <w:rsid w:val="00663C02"/>
    <w:rsid w:val="00665B79"/>
    <w:rsid w:val="00670AF6"/>
    <w:rsid w:val="00671450"/>
    <w:rsid w:val="00677199"/>
    <w:rsid w:val="006820A1"/>
    <w:rsid w:val="00684663"/>
    <w:rsid w:val="00685465"/>
    <w:rsid w:val="00686EAC"/>
    <w:rsid w:val="006873C3"/>
    <w:rsid w:val="00695829"/>
    <w:rsid w:val="006A03C8"/>
    <w:rsid w:val="006A0543"/>
    <w:rsid w:val="006A36B4"/>
    <w:rsid w:val="006A4B52"/>
    <w:rsid w:val="006A5244"/>
    <w:rsid w:val="006B4DA0"/>
    <w:rsid w:val="006B5521"/>
    <w:rsid w:val="006C0C6A"/>
    <w:rsid w:val="006C14A7"/>
    <w:rsid w:val="006C6AAF"/>
    <w:rsid w:val="006C77CB"/>
    <w:rsid w:val="006C7FEA"/>
    <w:rsid w:val="006D1F36"/>
    <w:rsid w:val="006D2365"/>
    <w:rsid w:val="006D35F5"/>
    <w:rsid w:val="006E034D"/>
    <w:rsid w:val="006E0F29"/>
    <w:rsid w:val="006E3387"/>
    <w:rsid w:val="006E3932"/>
    <w:rsid w:val="006E3BDF"/>
    <w:rsid w:val="006E5240"/>
    <w:rsid w:val="006E6ABD"/>
    <w:rsid w:val="006E6CDC"/>
    <w:rsid w:val="006F6068"/>
    <w:rsid w:val="00700BFA"/>
    <w:rsid w:val="007050D0"/>
    <w:rsid w:val="00706315"/>
    <w:rsid w:val="00721481"/>
    <w:rsid w:val="00722799"/>
    <w:rsid w:val="007278DD"/>
    <w:rsid w:val="007326BE"/>
    <w:rsid w:val="00732EDF"/>
    <w:rsid w:val="0073410B"/>
    <w:rsid w:val="007354E0"/>
    <w:rsid w:val="00737114"/>
    <w:rsid w:val="00740B8E"/>
    <w:rsid w:val="00743B8A"/>
    <w:rsid w:val="00744299"/>
    <w:rsid w:val="00745165"/>
    <w:rsid w:val="00745BFD"/>
    <w:rsid w:val="00746E5A"/>
    <w:rsid w:val="007474A9"/>
    <w:rsid w:val="00747788"/>
    <w:rsid w:val="0075009E"/>
    <w:rsid w:val="00752011"/>
    <w:rsid w:val="0075744B"/>
    <w:rsid w:val="0075797B"/>
    <w:rsid w:val="00760E5F"/>
    <w:rsid w:val="00761371"/>
    <w:rsid w:val="00762613"/>
    <w:rsid w:val="0076541D"/>
    <w:rsid w:val="007657C3"/>
    <w:rsid w:val="00771166"/>
    <w:rsid w:val="00772249"/>
    <w:rsid w:val="00773F8F"/>
    <w:rsid w:val="00780C96"/>
    <w:rsid w:val="007854FC"/>
    <w:rsid w:val="00790729"/>
    <w:rsid w:val="0079446A"/>
    <w:rsid w:val="00795AF1"/>
    <w:rsid w:val="00797F6C"/>
    <w:rsid w:val="007A1717"/>
    <w:rsid w:val="007A17A1"/>
    <w:rsid w:val="007A2A79"/>
    <w:rsid w:val="007A754E"/>
    <w:rsid w:val="007B05B0"/>
    <w:rsid w:val="007B18D9"/>
    <w:rsid w:val="007B3EBF"/>
    <w:rsid w:val="007B655D"/>
    <w:rsid w:val="007C3FEC"/>
    <w:rsid w:val="007C748B"/>
    <w:rsid w:val="007D2483"/>
    <w:rsid w:val="007D2C6F"/>
    <w:rsid w:val="007D40C2"/>
    <w:rsid w:val="007D747C"/>
    <w:rsid w:val="007E0008"/>
    <w:rsid w:val="007E0ACC"/>
    <w:rsid w:val="007E505C"/>
    <w:rsid w:val="007E73DC"/>
    <w:rsid w:val="007F009E"/>
    <w:rsid w:val="007F1EBC"/>
    <w:rsid w:val="007F3201"/>
    <w:rsid w:val="007F36F5"/>
    <w:rsid w:val="007F37F5"/>
    <w:rsid w:val="007F58FF"/>
    <w:rsid w:val="007F6DEF"/>
    <w:rsid w:val="008010EF"/>
    <w:rsid w:val="00802916"/>
    <w:rsid w:val="00811FC9"/>
    <w:rsid w:val="008151D5"/>
    <w:rsid w:val="00820C7D"/>
    <w:rsid w:val="00823788"/>
    <w:rsid w:val="00824F62"/>
    <w:rsid w:val="00830D24"/>
    <w:rsid w:val="00830F85"/>
    <w:rsid w:val="00832404"/>
    <w:rsid w:val="00832777"/>
    <w:rsid w:val="00836810"/>
    <w:rsid w:val="00840D94"/>
    <w:rsid w:val="0084110D"/>
    <w:rsid w:val="00843B8E"/>
    <w:rsid w:val="00846206"/>
    <w:rsid w:val="0085303D"/>
    <w:rsid w:val="008606E1"/>
    <w:rsid w:val="00873AA2"/>
    <w:rsid w:val="00874433"/>
    <w:rsid w:val="0087509D"/>
    <w:rsid w:val="00875724"/>
    <w:rsid w:val="008759C8"/>
    <w:rsid w:val="00876293"/>
    <w:rsid w:val="00877BA2"/>
    <w:rsid w:val="008801EA"/>
    <w:rsid w:val="008834A1"/>
    <w:rsid w:val="00886225"/>
    <w:rsid w:val="00892632"/>
    <w:rsid w:val="00892860"/>
    <w:rsid w:val="0089427B"/>
    <w:rsid w:val="008A3BC8"/>
    <w:rsid w:val="008A61A8"/>
    <w:rsid w:val="008B0E18"/>
    <w:rsid w:val="008B651E"/>
    <w:rsid w:val="008C0124"/>
    <w:rsid w:val="008C1D6C"/>
    <w:rsid w:val="008C42F7"/>
    <w:rsid w:val="008C6EAD"/>
    <w:rsid w:val="008E1C32"/>
    <w:rsid w:val="008E23E8"/>
    <w:rsid w:val="008E2EEC"/>
    <w:rsid w:val="008E4C4C"/>
    <w:rsid w:val="008E4CFE"/>
    <w:rsid w:val="008E741A"/>
    <w:rsid w:val="008F048E"/>
    <w:rsid w:val="008F190C"/>
    <w:rsid w:val="008F1C06"/>
    <w:rsid w:val="008F777E"/>
    <w:rsid w:val="008F79D0"/>
    <w:rsid w:val="008F7FF8"/>
    <w:rsid w:val="009035E5"/>
    <w:rsid w:val="00912805"/>
    <w:rsid w:val="009146D5"/>
    <w:rsid w:val="00914867"/>
    <w:rsid w:val="00923B0C"/>
    <w:rsid w:val="00930132"/>
    <w:rsid w:val="00933D10"/>
    <w:rsid w:val="00935847"/>
    <w:rsid w:val="00941A80"/>
    <w:rsid w:val="00941F64"/>
    <w:rsid w:val="00943BFC"/>
    <w:rsid w:val="00950321"/>
    <w:rsid w:val="009511AD"/>
    <w:rsid w:val="0095159A"/>
    <w:rsid w:val="00952270"/>
    <w:rsid w:val="009605C9"/>
    <w:rsid w:val="00961439"/>
    <w:rsid w:val="0096213B"/>
    <w:rsid w:val="0096386E"/>
    <w:rsid w:val="00966872"/>
    <w:rsid w:val="009675F0"/>
    <w:rsid w:val="00972218"/>
    <w:rsid w:val="00972522"/>
    <w:rsid w:val="009733CC"/>
    <w:rsid w:val="009817DD"/>
    <w:rsid w:val="00985292"/>
    <w:rsid w:val="00987678"/>
    <w:rsid w:val="009A5EC6"/>
    <w:rsid w:val="009A7CE9"/>
    <w:rsid w:val="009B2A5B"/>
    <w:rsid w:val="009B579C"/>
    <w:rsid w:val="009C7830"/>
    <w:rsid w:val="009C7B9C"/>
    <w:rsid w:val="009D0A2D"/>
    <w:rsid w:val="009D0C96"/>
    <w:rsid w:val="009D3516"/>
    <w:rsid w:val="009D47EC"/>
    <w:rsid w:val="009D5B75"/>
    <w:rsid w:val="009D7684"/>
    <w:rsid w:val="009E09E3"/>
    <w:rsid w:val="009E4AC8"/>
    <w:rsid w:val="009E4CA7"/>
    <w:rsid w:val="009E69E3"/>
    <w:rsid w:val="009F3619"/>
    <w:rsid w:val="009F37B6"/>
    <w:rsid w:val="00A025A3"/>
    <w:rsid w:val="00A039C8"/>
    <w:rsid w:val="00A05CD1"/>
    <w:rsid w:val="00A104F7"/>
    <w:rsid w:val="00A1655C"/>
    <w:rsid w:val="00A1708A"/>
    <w:rsid w:val="00A17277"/>
    <w:rsid w:val="00A209CE"/>
    <w:rsid w:val="00A22B30"/>
    <w:rsid w:val="00A24989"/>
    <w:rsid w:val="00A25085"/>
    <w:rsid w:val="00A2546C"/>
    <w:rsid w:val="00A31D18"/>
    <w:rsid w:val="00A348C5"/>
    <w:rsid w:val="00A41DBF"/>
    <w:rsid w:val="00A44854"/>
    <w:rsid w:val="00A46118"/>
    <w:rsid w:val="00A478DF"/>
    <w:rsid w:val="00A50E60"/>
    <w:rsid w:val="00A554FE"/>
    <w:rsid w:val="00A57D1F"/>
    <w:rsid w:val="00A616DE"/>
    <w:rsid w:val="00A62067"/>
    <w:rsid w:val="00A63E04"/>
    <w:rsid w:val="00A63FB9"/>
    <w:rsid w:val="00A66B9D"/>
    <w:rsid w:val="00A67F19"/>
    <w:rsid w:val="00A70D93"/>
    <w:rsid w:val="00A71329"/>
    <w:rsid w:val="00A748C4"/>
    <w:rsid w:val="00A759AC"/>
    <w:rsid w:val="00A77C20"/>
    <w:rsid w:val="00A81187"/>
    <w:rsid w:val="00A81FFA"/>
    <w:rsid w:val="00A8412D"/>
    <w:rsid w:val="00A95425"/>
    <w:rsid w:val="00A96E22"/>
    <w:rsid w:val="00A9799A"/>
    <w:rsid w:val="00AA0BA1"/>
    <w:rsid w:val="00AA14E2"/>
    <w:rsid w:val="00AA1790"/>
    <w:rsid w:val="00AA274F"/>
    <w:rsid w:val="00AA614D"/>
    <w:rsid w:val="00AB3FB8"/>
    <w:rsid w:val="00AB7D60"/>
    <w:rsid w:val="00AC06FD"/>
    <w:rsid w:val="00AC1882"/>
    <w:rsid w:val="00AC4F59"/>
    <w:rsid w:val="00AD0546"/>
    <w:rsid w:val="00AD1265"/>
    <w:rsid w:val="00AD6E5A"/>
    <w:rsid w:val="00AD71AB"/>
    <w:rsid w:val="00AE0C6A"/>
    <w:rsid w:val="00AE7B08"/>
    <w:rsid w:val="00AF07A9"/>
    <w:rsid w:val="00AF5A7A"/>
    <w:rsid w:val="00AF5C6E"/>
    <w:rsid w:val="00AF7F05"/>
    <w:rsid w:val="00B012DB"/>
    <w:rsid w:val="00B050F8"/>
    <w:rsid w:val="00B06840"/>
    <w:rsid w:val="00B073AD"/>
    <w:rsid w:val="00B163BE"/>
    <w:rsid w:val="00B16C71"/>
    <w:rsid w:val="00B17076"/>
    <w:rsid w:val="00B21EEA"/>
    <w:rsid w:val="00B2383E"/>
    <w:rsid w:val="00B2548C"/>
    <w:rsid w:val="00B25961"/>
    <w:rsid w:val="00B42095"/>
    <w:rsid w:val="00B4247F"/>
    <w:rsid w:val="00B429C9"/>
    <w:rsid w:val="00B446A3"/>
    <w:rsid w:val="00B51270"/>
    <w:rsid w:val="00B51962"/>
    <w:rsid w:val="00B565A0"/>
    <w:rsid w:val="00B63750"/>
    <w:rsid w:val="00B64AB8"/>
    <w:rsid w:val="00B70755"/>
    <w:rsid w:val="00B8096B"/>
    <w:rsid w:val="00B83890"/>
    <w:rsid w:val="00B91DCF"/>
    <w:rsid w:val="00B9273F"/>
    <w:rsid w:val="00B95726"/>
    <w:rsid w:val="00B977A6"/>
    <w:rsid w:val="00BA01AA"/>
    <w:rsid w:val="00BB3426"/>
    <w:rsid w:val="00BC2577"/>
    <w:rsid w:val="00BC5BE4"/>
    <w:rsid w:val="00BC7DB3"/>
    <w:rsid w:val="00BD0FDF"/>
    <w:rsid w:val="00BD1D19"/>
    <w:rsid w:val="00BD4CD7"/>
    <w:rsid w:val="00BD5CEC"/>
    <w:rsid w:val="00BD70A4"/>
    <w:rsid w:val="00BD7D62"/>
    <w:rsid w:val="00BE1C20"/>
    <w:rsid w:val="00BE1F04"/>
    <w:rsid w:val="00BE53E4"/>
    <w:rsid w:val="00BE5E02"/>
    <w:rsid w:val="00BE734C"/>
    <w:rsid w:val="00BE79F2"/>
    <w:rsid w:val="00BF0DBE"/>
    <w:rsid w:val="00C01D32"/>
    <w:rsid w:val="00C03F66"/>
    <w:rsid w:val="00C1049A"/>
    <w:rsid w:val="00C117D0"/>
    <w:rsid w:val="00C118E3"/>
    <w:rsid w:val="00C12AB8"/>
    <w:rsid w:val="00C15302"/>
    <w:rsid w:val="00C22E56"/>
    <w:rsid w:val="00C353A0"/>
    <w:rsid w:val="00C359D7"/>
    <w:rsid w:val="00C36591"/>
    <w:rsid w:val="00C37F7A"/>
    <w:rsid w:val="00C43C54"/>
    <w:rsid w:val="00C445B3"/>
    <w:rsid w:val="00C44660"/>
    <w:rsid w:val="00C46212"/>
    <w:rsid w:val="00C50F10"/>
    <w:rsid w:val="00C532CF"/>
    <w:rsid w:val="00C5474B"/>
    <w:rsid w:val="00C54BBD"/>
    <w:rsid w:val="00C701B2"/>
    <w:rsid w:val="00C70B34"/>
    <w:rsid w:val="00C710EE"/>
    <w:rsid w:val="00C729F1"/>
    <w:rsid w:val="00C73C71"/>
    <w:rsid w:val="00C767EC"/>
    <w:rsid w:val="00C8083D"/>
    <w:rsid w:val="00C80A1A"/>
    <w:rsid w:val="00C81719"/>
    <w:rsid w:val="00C82F7A"/>
    <w:rsid w:val="00C87295"/>
    <w:rsid w:val="00C905E1"/>
    <w:rsid w:val="00C942EC"/>
    <w:rsid w:val="00C97C25"/>
    <w:rsid w:val="00CA0478"/>
    <w:rsid w:val="00CA0D25"/>
    <w:rsid w:val="00CA2806"/>
    <w:rsid w:val="00CA3B65"/>
    <w:rsid w:val="00CB0349"/>
    <w:rsid w:val="00CB3275"/>
    <w:rsid w:val="00CC205B"/>
    <w:rsid w:val="00CC25A9"/>
    <w:rsid w:val="00CC2BC7"/>
    <w:rsid w:val="00CD0195"/>
    <w:rsid w:val="00CD0D02"/>
    <w:rsid w:val="00CD1752"/>
    <w:rsid w:val="00CE0B92"/>
    <w:rsid w:val="00CE274A"/>
    <w:rsid w:val="00CE3AD8"/>
    <w:rsid w:val="00CF2AFF"/>
    <w:rsid w:val="00CF3172"/>
    <w:rsid w:val="00D009C5"/>
    <w:rsid w:val="00D01F32"/>
    <w:rsid w:val="00D0414D"/>
    <w:rsid w:val="00D052E6"/>
    <w:rsid w:val="00D05482"/>
    <w:rsid w:val="00D06779"/>
    <w:rsid w:val="00D10DB4"/>
    <w:rsid w:val="00D11F48"/>
    <w:rsid w:val="00D164BE"/>
    <w:rsid w:val="00D207BF"/>
    <w:rsid w:val="00D21FD1"/>
    <w:rsid w:val="00D2260B"/>
    <w:rsid w:val="00D25285"/>
    <w:rsid w:val="00D402BD"/>
    <w:rsid w:val="00D41704"/>
    <w:rsid w:val="00D43B07"/>
    <w:rsid w:val="00D47214"/>
    <w:rsid w:val="00D472F6"/>
    <w:rsid w:val="00D50940"/>
    <w:rsid w:val="00D51631"/>
    <w:rsid w:val="00D51AC8"/>
    <w:rsid w:val="00D552AE"/>
    <w:rsid w:val="00D55C76"/>
    <w:rsid w:val="00D560B3"/>
    <w:rsid w:val="00D602AA"/>
    <w:rsid w:val="00D63922"/>
    <w:rsid w:val="00D64305"/>
    <w:rsid w:val="00D644DC"/>
    <w:rsid w:val="00D66387"/>
    <w:rsid w:val="00D67FCC"/>
    <w:rsid w:val="00D70555"/>
    <w:rsid w:val="00D70A3E"/>
    <w:rsid w:val="00D727A5"/>
    <w:rsid w:val="00D7293E"/>
    <w:rsid w:val="00D7419C"/>
    <w:rsid w:val="00D7672B"/>
    <w:rsid w:val="00D917BD"/>
    <w:rsid w:val="00D94B6F"/>
    <w:rsid w:val="00D94E24"/>
    <w:rsid w:val="00D9657D"/>
    <w:rsid w:val="00DA25A6"/>
    <w:rsid w:val="00DA58C2"/>
    <w:rsid w:val="00DA5D58"/>
    <w:rsid w:val="00DA6DFB"/>
    <w:rsid w:val="00DA6F9A"/>
    <w:rsid w:val="00DB6026"/>
    <w:rsid w:val="00DC046C"/>
    <w:rsid w:val="00DC7026"/>
    <w:rsid w:val="00DD1A4C"/>
    <w:rsid w:val="00DD2CB2"/>
    <w:rsid w:val="00DD5ECB"/>
    <w:rsid w:val="00DE113C"/>
    <w:rsid w:val="00DE1BE7"/>
    <w:rsid w:val="00DE3ECE"/>
    <w:rsid w:val="00DE4EB2"/>
    <w:rsid w:val="00DE5BD2"/>
    <w:rsid w:val="00DF01CB"/>
    <w:rsid w:val="00DF2DE4"/>
    <w:rsid w:val="00DF67C4"/>
    <w:rsid w:val="00DF7812"/>
    <w:rsid w:val="00E00ADF"/>
    <w:rsid w:val="00E22B5A"/>
    <w:rsid w:val="00E2476A"/>
    <w:rsid w:val="00E27C8B"/>
    <w:rsid w:val="00E307DD"/>
    <w:rsid w:val="00E31C89"/>
    <w:rsid w:val="00E341E0"/>
    <w:rsid w:val="00E37AF7"/>
    <w:rsid w:val="00E40432"/>
    <w:rsid w:val="00E407D8"/>
    <w:rsid w:val="00E41C89"/>
    <w:rsid w:val="00E42F70"/>
    <w:rsid w:val="00E42FBE"/>
    <w:rsid w:val="00E451E8"/>
    <w:rsid w:val="00E47595"/>
    <w:rsid w:val="00E47F43"/>
    <w:rsid w:val="00E56DF7"/>
    <w:rsid w:val="00E65E76"/>
    <w:rsid w:val="00E67759"/>
    <w:rsid w:val="00E7331A"/>
    <w:rsid w:val="00E764D2"/>
    <w:rsid w:val="00E827B7"/>
    <w:rsid w:val="00E82944"/>
    <w:rsid w:val="00E8574D"/>
    <w:rsid w:val="00E908A9"/>
    <w:rsid w:val="00E92526"/>
    <w:rsid w:val="00E971D9"/>
    <w:rsid w:val="00E97734"/>
    <w:rsid w:val="00E9775A"/>
    <w:rsid w:val="00E97CB0"/>
    <w:rsid w:val="00EA41DF"/>
    <w:rsid w:val="00EA5CEC"/>
    <w:rsid w:val="00EA677C"/>
    <w:rsid w:val="00EB397E"/>
    <w:rsid w:val="00EB6B0F"/>
    <w:rsid w:val="00EC0FFF"/>
    <w:rsid w:val="00EC2701"/>
    <w:rsid w:val="00ED33E6"/>
    <w:rsid w:val="00ED493E"/>
    <w:rsid w:val="00ED4F9D"/>
    <w:rsid w:val="00ED5D60"/>
    <w:rsid w:val="00EE2813"/>
    <w:rsid w:val="00EE53E6"/>
    <w:rsid w:val="00EE56D8"/>
    <w:rsid w:val="00EE59B1"/>
    <w:rsid w:val="00EF09D6"/>
    <w:rsid w:val="00EF20EA"/>
    <w:rsid w:val="00EF5B32"/>
    <w:rsid w:val="00EF5CA3"/>
    <w:rsid w:val="00EF7C84"/>
    <w:rsid w:val="00F01152"/>
    <w:rsid w:val="00F017E1"/>
    <w:rsid w:val="00F1081C"/>
    <w:rsid w:val="00F1215F"/>
    <w:rsid w:val="00F14A5B"/>
    <w:rsid w:val="00F210AF"/>
    <w:rsid w:val="00F21E75"/>
    <w:rsid w:val="00F22B26"/>
    <w:rsid w:val="00F23D2E"/>
    <w:rsid w:val="00F23F3F"/>
    <w:rsid w:val="00F32E87"/>
    <w:rsid w:val="00F3567B"/>
    <w:rsid w:val="00F41211"/>
    <w:rsid w:val="00F42963"/>
    <w:rsid w:val="00F44088"/>
    <w:rsid w:val="00F44EAC"/>
    <w:rsid w:val="00F47B70"/>
    <w:rsid w:val="00F5161D"/>
    <w:rsid w:val="00F5346E"/>
    <w:rsid w:val="00F60590"/>
    <w:rsid w:val="00F60C6C"/>
    <w:rsid w:val="00F630B0"/>
    <w:rsid w:val="00F63162"/>
    <w:rsid w:val="00F63300"/>
    <w:rsid w:val="00F7046A"/>
    <w:rsid w:val="00F77649"/>
    <w:rsid w:val="00F870A6"/>
    <w:rsid w:val="00F8778B"/>
    <w:rsid w:val="00F93DEB"/>
    <w:rsid w:val="00F95F88"/>
    <w:rsid w:val="00FA04E4"/>
    <w:rsid w:val="00FA2BC2"/>
    <w:rsid w:val="00FA5211"/>
    <w:rsid w:val="00FB37E1"/>
    <w:rsid w:val="00FB7EE6"/>
    <w:rsid w:val="00FC1E21"/>
    <w:rsid w:val="00FC2253"/>
    <w:rsid w:val="00FC2481"/>
    <w:rsid w:val="00FC467F"/>
    <w:rsid w:val="00FC5857"/>
    <w:rsid w:val="00FC63FB"/>
    <w:rsid w:val="00FC66E6"/>
    <w:rsid w:val="00FC6F34"/>
    <w:rsid w:val="00FD3556"/>
    <w:rsid w:val="00FD6A2C"/>
    <w:rsid w:val="00FD7120"/>
    <w:rsid w:val="00FE02AA"/>
    <w:rsid w:val="00FE3045"/>
    <w:rsid w:val="00FF054B"/>
    <w:rsid w:val="00FF3EFF"/>
    <w:rsid w:val="00FF3F47"/>
    <w:rsid w:val="00FF53FC"/>
    <w:rsid w:val="00FF55B5"/>
    <w:rsid w:val="00FF564E"/>
    <w:rsid w:val="00FF6B50"/>
    <w:rsid w:val="00FF6C23"/>
    <w:rsid w:val="01727BD7"/>
    <w:rsid w:val="017426B0"/>
    <w:rsid w:val="02A604E3"/>
    <w:rsid w:val="03962912"/>
    <w:rsid w:val="06233AA0"/>
    <w:rsid w:val="07807554"/>
    <w:rsid w:val="07FC7F06"/>
    <w:rsid w:val="08AB33E1"/>
    <w:rsid w:val="08FC6276"/>
    <w:rsid w:val="0A346303"/>
    <w:rsid w:val="0ACB4F8A"/>
    <w:rsid w:val="0C57284E"/>
    <w:rsid w:val="0C9A197A"/>
    <w:rsid w:val="0F4C0664"/>
    <w:rsid w:val="0FA4042D"/>
    <w:rsid w:val="113E219B"/>
    <w:rsid w:val="13075A15"/>
    <w:rsid w:val="13451990"/>
    <w:rsid w:val="144C36B0"/>
    <w:rsid w:val="15016F8E"/>
    <w:rsid w:val="156F6E5A"/>
    <w:rsid w:val="16412827"/>
    <w:rsid w:val="19742C91"/>
    <w:rsid w:val="1B28788F"/>
    <w:rsid w:val="1B3C333B"/>
    <w:rsid w:val="1C9B5EF9"/>
    <w:rsid w:val="1E1B1CC9"/>
    <w:rsid w:val="1E556174"/>
    <w:rsid w:val="1EBA4312"/>
    <w:rsid w:val="21DC7A3C"/>
    <w:rsid w:val="22C75BE0"/>
    <w:rsid w:val="274D4EF7"/>
    <w:rsid w:val="29DB4666"/>
    <w:rsid w:val="2A5A5F14"/>
    <w:rsid w:val="2AC5391C"/>
    <w:rsid w:val="2B343226"/>
    <w:rsid w:val="2B4F0E13"/>
    <w:rsid w:val="2BF2561F"/>
    <w:rsid w:val="2CB21A3D"/>
    <w:rsid w:val="2D684463"/>
    <w:rsid w:val="2EE63891"/>
    <w:rsid w:val="2F236894"/>
    <w:rsid w:val="2F4607D4"/>
    <w:rsid w:val="3071362F"/>
    <w:rsid w:val="30F23DA2"/>
    <w:rsid w:val="311E37B6"/>
    <w:rsid w:val="32851872"/>
    <w:rsid w:val="34571DD6"/>
    <w:rsid w:val="37A34A15"/>
    <w:rsid w:val="37FD733E"/>
    <w:rsid w:val="38E01351"/>
    <w:rsid w:val="39D32C64"/>
    <w:rsid w:val="39E15381"/>
    <w:rsid w:val="3A57236B"/>
    <w:rsid w:val="3AE0085F"/>
    <w:rsid w:val="3C5A766D"/>
    <w:rsid w:val="3D7D3613"/>
    <w:rsid w:val="3DB82EC7"/>
    <w:rsid w:val="3E59146A"/>
    <w:rsid w:val="3F690FAF"/>
    <w:rsid w:val="412B15D8"/>
    <w:rsid w:val="43F16B09"/>
    <w:rsid w:val="450C277A"/>
    <w:rsid w:val="477C07C1"/>
    <w:rsid w:val="47F6649C"/>
    <w:rsid w:val="484713ED"/>
    <w:rsid w:val="48BD62E3"/>
    <w:rsid w:val="48C758C0"/>
    <w:rsid w:val="496F29A9"/>
    <w:rsid w:val="4C520360"/>
    <w:rsid w:val="4CE526E2"/>
    <w:rsid w:val="4D096A94"/>
    <w:rsid w:val="4D7F0CE1"/>
    <w:rsid w:val="4E2D5704"/>
    <w:rsid w:val="4F437AD7"/>
    <w:rsid w:val="506D2A4B"/>
    <w:rsid w:val="51C178E1"/>
    <w:rsid w:val="531449CD"/>
    <w:rsid w:val="53D004E8"/>
    <w:rsid w:val="53FA24F9"/>
    <w:rsid w:val="56382375"/>
    <w:rsid w:val="564B5EC8"/>
    <w:rsid w:val="56BF649E"/>
    <w:rsid w:val="578A30A4"/>
    <w:rsid w:val="59123351"/>
    <w:rsid w:val="5B506202"/>
    <w:rsid w:val="5BB412DA"/>
    <w:rsid w:val="5C14118E"/>
    <w:rsid w:val="5C657C3C"/>
    <w:rsid w:val="5D4E3FF9"/>
    <w:rsid w:val="5DE7F9E8"/>
    <w:rsid w:val="5DF8499E"/>
    <w:rsid w:val="5E937134"/>
    <w:rsid w:val="5EB250E7"/>
    <w:rsid w:val="5F38549D"/>
    <w:rsid w:val="60B6218C"/>
    <w:rsid w:val="618806D2"/>
    <w:rsid w:val="61F730E4"/>
    <w:rsid w:val="6304549E"/>
    <w:rsid w:val="633578AF"/>
    <w:rsid w:val="63595D4F"/>
    <w:rsid w:val="64CA4AE0"/>
    <w:rsid w:val="66562CF4"/>
    <w:rsid w:val="671E7365"/>
    <w:rsid w:val="69366BE8"/>
    <w:rsid w:val="699B6A4B"/>
    <w:rsid w:val="6A4E61B3"/>
    <w:rsid w:val="6B3B40E2"/>
    <w:rsid w:val="6C315445"/>
    <w:rsid w:val="6C3A56EF"/>
    <w:rsid w:val="6F2105FA"/>
    <w:rsid w:val="6F4F00EF"/>
    <w:rsid w:val="70772C0D"/>
    <w:rsid w:val="70FF058F"/>
    <w:rsid w:val="7203336A"/>
    <w:rsid w:val="72616371"/>
    <w:rsid w:val="73405284"/>
    <w:rsid w:val="75247761"/>
    <w:rsid w:val="7590142E"/>
    <w:rsid w:val="75DF5F11"/>
    <w:rsid w:val="765E709F"/>
    <w:rsid w:val="76782372"/>
    <w:rsid w:val="776F4131"/>
    <w:rsid w:val="784C6A38"/>
    <w:rsid w:val="788F00C3"/>
    <w:rsid w:val="78E328E7"/>
    <w:rsid w:val="796948E9"/>
    <w:rsid w:val="7AF63EB7"/>
    <w:rsid w:val="7B7470FC"/>
    <w:rsid w:val="7DB94AEB"/>
    <w:rsid w:val="7E7966F1"/>
    <w:rsid w:val="7EB686AE"/>
    <w:rsid w:val="7EBFAA3A"/>
    <w:rsid w:val="7F7422B2"/>
    <w:rsid w:val="7FCE737A"/>
    <w:rsid w:val="7FDFD903"/>
    <w:rsid w:val="8FFEACF7"/>
    <w:rsid w:val="97F30F45"/>
    <w:rsid w:val="9FCFD5FC"/>
    <w:rsid w:val="A6E8D414"/>
    <w:rsid w:val="B7DBA2EA"/>
    <w:rsid w:val="BADF3C38"/>
    <w:rsid w:val="BBA7BC2F"/>
    <w:rsid w:val="BEFBFD68"/>
    <w:rsid w:val="BF3BF5CA"/>
    <w:rsid w:val="CDDEDA6B"/>
    <w:rsid w:val="DB7F8477"/>
    <w:rsid w:val="DE5AD610"/>
    <w:rsid w:val="DE8B3947"/>
    <w:rsid w:val="DFFF298B"/>
    <w:rsid w:val="DFFF51E6"/>
    <w:rsid w:val="F37F3023"/>
    <w:rsid w:val="F5FFDA20"/>
    <w:rsid w:val="F60AB226"/>
    <w:rsid w:val="FD3B2D4F"/>
    <w:rsid w:val="FEFFEDA0"/>
    <w:rsid w:val="FF7E2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spacing w:before="340" w:after="330" w:line="576" w:lineRule="auto"/>
      <w:outlineLvl w:val="0"/>
    </w:pPr>
    <w:rPr>
      <w:b/>
      <w:bCs/>
      <w:kern w:val="44"/>
      <w:sz w:val="44"/>
      <w:szCs w:val="44"/>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First Indent 2"/>
    <w:basedOn w:val="4"/>
    <w:qFormat/>
    <w:uiPriority w:val="0"/>
    <w:pPr>
      <w:ind w:firstLine="200" w:firstLineChars="200"/>
      <w:jc w:val="left"/>
    </w:pPr>
    <w:rPr>
      <w:rFonts w:ascii="宋体" w:hAnsi="宋体"/>
    </w:rPr>
  </w:style>
  <w:style w:type="paragraph" w:styleId="4">
    <w:name w:val="Body Text Indent"/>
    <w:basedOn w:val="1"/>
    <w:qFormat/>
    <w:uiPriority w:val="99"/>
    <w:pPr>
      <w:ind w:firstLine="830" w:firstLineChars="352"/>
    </w:pPr>
    <w:rPr>
      <w:rFonts w:ascii="仿宋_GB2312" w:hAnsi="Calibri" w:eastAsia="仿宋_GB2312"/>
      <w:kern w:val="0"/>
      <w:sz w:val="32"/>
      <w:szCs w:val="20"/>
    </w:rPr>
  </w:style>
  <w:style w:type="paragraph" w:styleId="5">
    <w:name w:val="Normal Indent"/>
    <w:basedOn w:val="1"/>
    <w:qFormat/>
    <w:uiPriority w:val="0"/>
    <w:pPr>
      <w:ind w:firstLine="420"/>
    </w:pPr>
    <w:rPr>
      <w:szCs w:val="20"/>
    </w:rPr>
  </w:style>
  <w:style w:type="paragraph" w:styleId="6">
    <w:name w:val="annotation text"/>
    <w:basedOn w:val="1"/>
    <w:link w:val="25"/>
    <w:unhideWhenUsed/>
    <w:qFormat/>
    <w:uiPriority w:val="99"/>
    <w:pPr>
      <w:jc w:val="left"/>
    </w:pPr>
  </w:style>
  <w:style w:type="paragraph" w:styleId="7">
    <w:name w:val="Body Text"/>
    <w:basedOn w:val="1"/>
    <w:next w:val="1"/>
    <w:link w:val="26"/>
    <w:qFormat/>
    <w:uiPriority w:val="0"/>
    <w:pPr>
      <w:spacing w:line="360" w:lineRule="auto"/>
    </w:pPr>
    <w:rPr>
      <w:b/>
      <w:bCs/>
      <w:sz w:val="24"/>
    </w:rPr>
  </w:style>
  <w:style w:type="paragraph" w:styleId="8">
    <w:name w:val="Balloon Text"/>
    <w:basedOn w:val="1"/>
    <w:link w:val="24"/>
    <w:semiHidden/>
    <w:unhideWhenUsed/>
    <w:qFormat/>
    <w:uiPriority w:val="99"/>
    <w:rPr>
      <w:rFonts w:ascii="Times New Roman" w:hAnsi="Times New Roman" w:eastAsia="仿宋_GB2312" w:cs="Times New Roman"/>
      <w:spacing w:val="10"/>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FollowedHyperlink"/>
    <w:basedOn w:val="14"/>
    <w:semiHidden/>
    <w:unhideWhenUsed/>
    <w:qFormat/>
    <w:uiPriority w:val="99"/>
    <w:rPr>
      <w:color w:val="800080"/>
      <w:sz w:val="20"/>
      <w:szCs w:val="20"/>
      <w:u w:val="single"/>
    </w:rPr>
  </w:style>
  <w:style w:type="character" w:styleId="17">
    <w:name w:val="Hyperlink"/>
    <w:basedOn w:val="14"/>
    <w:semiHidden/>
    <w:unhideWhenUsed/>
    <w:qFormat/>
    <w:uiPriority w:val="99"/>
    <w:rPr>
      <w:color w:val="0000FF"/>
      <w:sz w:val="20"/>
      <w:szCs w:val="20"/>
      <w:u w:val="single"/>
    </w:rPr>
  </w:style>
  <w:style w:type="character" w:styleId="18">
    <w:name w:val="annotation reference"/>
    <w:basedOn w:val="14"/>
    <w:semiHidden/>
    <w:unhideWhenUsed/>
    <w:qFormat/>
    <w:uiPriority w:val="99"/>
    <w:rPr>
      <w:sz w:val="21"/>
      <w:szCs w:val="21"/>
    </w:rPr>
  </w:style>
  <w:style w:type="paragraph" w:customStyle="1" w:styleId="19">
    <w:name w:val="tableheader"/>
    <w:basedOn w:val="1"/>
    <w:qFormat/>
    <w:uiPriority w:val="0"/>
    <w:pPr>
      <w:widowControl/>
      <w:shd w:val="clear" w:color="auto" w:fill="ABCDEF"/>
      <w:spacing w:before="100" w:beforeAutospacing="1" w:after="100" w:afterAutospacing="1"/>
      <w:jc w:val="left"/>
    </w:pPr>
    <w:rPr>
      <w:rFonts w:ascii="宋体" w:hAnsi="宋体" w:eastAsia="宋体" w:cs="宋体"/>
      <w:kern w:val="0"/>
      <w:sz w:val="24"/>
      <w:szCs w:val="24"/>
    </w:rPr>
  </w:style>
  <w:style w:type="character" w:customStyle="1" w:styleId="20">
    <w:name w:val="页眉 Char"/>
    <w:basedOn w:val="14"/>
    <w:link w:val="10"/>
    <w:qFormat/>
    <w:uiPriority w:val="0"/>
    <w:rPr>
      <w:rFonts w:ascii="Times New Roman" w:hAnsi="Times New Roman" w:eastAsia="宋体" w:cs="Times New Roman"/>
      <w:sz w:val="18"/>
      <w:szCs w:val="18"/>
    </w:rPr>
  </w:style>
  <w:style w:type="character" w:customStyle="1" w:styleId="21">
    <w:name w:val="页脚 Char"/>
    <w:basedOn w:val="14"/>
    <w:link w:val="9"/>
    <w:qFormat/>
    <w:uiPriority w:val="99"/>
    <w:rPr>
      <w:sz w:val="18"/>
      <w:szCs w:val="18"/>
    </w:rPr>
  </w:style>
  <w:style w:type="paragraph" w:customStyle="1" w:styleId="22">
    <w:name w:val="首行缩进"/>
    <w:basedOn w:val="1"/>
    <w:qFormat/>
    <w:uiPriority w:val="0"/>
    <w:pPr>
      <w:ind w:firstLine="480" w:firstLineChars="200"/>
    </w:pPr>
    <w:rPr>
      <w:rFonts w:ascii="Calibri" w:hAnsi="Calibri" w:eastAsia="仿宋" w:cs="Times New Roman"/>
      <w:sz w:val="28"/>
      <w:lang w:val="zh-CN"/>
    </w:rPr>
  </w:style>
  <w:style w:type="paragraph" w:styleId="23">
    <w:name w:val="List Paragraph"/>
    <w:basedOn w:val="1"/>
    <w:qFormat/>
    <w:uiPriority w:val="34"/>
    <w:pPr>
      <w:ind w:firstLine="420" w:firstLineChars="200"/>
    </w:pPr>
  </w:style>
  <w:style w:type="character" w:customStyle="1" w:styleId="24">
    <w:name w:val="批注框文本 Char"/>
    <w:basedOn w:val="14"/>
    <w:link w:val="8"/>
    <w:semiHidden/>
    <w:qFormat/>
    <w:uiPriority w:val="99"/>
    <w:rPr>
      <w:rFonts w:ascii="Times New Roman" w:hAnsi="Times New Roman" w:eastAsia="仿宋_GB2312" w:cs="Times New Roman"/>
      <w:spacing w:val="10"/>
      <w:sz w:val="18"/>
      <w:szCs w:val="18"/>
    </w:rPr>
  </w:style>
  <w:style w:type="character" w:customStyle="1" w:styleId="25">
    <w:name w:val="批注文字 Char"/>
    <w:basedOn w:val="14"/>
    <w:link w:val="6"/>
    <w:qFormat/>
    <w:uiPriority w:val="0"/>
    <w:rPr>
      <w:kern w:val="2"/>
      <w:sz w:val="21"/>
      <w:szCs w:val="22"/>
    </w:rPr>
  </w:style>
  <w:style w:type="character" w:customStyle="1" w:styleId="26">
    <w:name w:val="正文文本 Char"/>
    <w:basedOn w:val="14"/>
    <w:link w:val="7"/>
    <w:qFormat/>
    <w:uiPriority w:val="0"/>
    <w:rPr>
      <w:b/>
      <w:bCs/>
      <w:kern w:val="2"/>
      <w:sz w:val="24"/>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DELL</Company>
  <Pages>10</Pages>
  <Words>6162</Words>
  <Characters>6393</Characters>
  <Lines>296</Lines>
  <Paragraphs>234</Paragraphs>
  <TotalTime>3</TotalTime>
  <ScaleCrop>false</ScaleCrop>
  <LinksUpToDate>false</LinksUpToDate>
  <CharactersWithSpaces>6415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2026-10-19T07:09:00Z</dcterms:created>
  <dc:creator>张婷婷</dc:creator>
  <cp:lastModifiedBy>SMN</cp:lastModifiedBy>
  <dcterms:modified xsi:type="dcterms:W3CDTF">2026-10-20T01:32:38Z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49E8195EDFB1435BAE1B1AB08F529086_13</vt:lpwstr>
  </property>
  <property fmtid="{D5CDD505-2E9C-101B-9397-08002B2CF9AE}" pid="4" name="KSOTemplateDocerSaveRecord">
    <vt:lpwstr>eyJoZGlkIjoiNWI5MzFlZGQ1MWM5ZjJlZGU1ZDlkNWI3M2NjN2I4NDUiLCJ1c2VySWQiOiIzNDQ0ODA3MjQifQ==</vt:lpwstr>
  </property>
</Properties>
</file>