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D7" w:rsidRDefault="00712B1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南方医科大学深圳口腔医院（坪山）</w:t>
      </w:r>
    </w:p>
    <w:p w:rsidR="004366A0" w:rsidRDefault="004E6ED7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4E6ED7">
        <w:rPr>
          <w:rFonts w:ascii="仿宋_GB2312" w:eastAsia="仿宋_GB2312" w:hAnsi="宋体" w:hint="eastAsia"/>
          <w:b/>
          <w:sz w:val="32"/>
          <w:szCs w:val="32"/>
        </w:rPr>
        <w:t>网络信息安全设备及系统规则库特征库更新升级项目</w:t>
      </w:r>
    </w:p>
    <w:p w:rsidR="001F3AF3" w:rsidRDefault="004366A0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市场调研</w:t>
      </w:r>
      <w:r w:rsidR="00465D14">
        <w:rPr>
          <w:rFonts w:ascii="仿宋_GB2312" w:eastAsia="仿宋_GB2312" w:hAnsi="宋体" w:hint="eastAsia"/>
          <w:b/>
          <w:sz w:val="32"/>
          <w:szCs w:val="32"/>
        </w:rPr>
        <w:t>需求</w:t>
      </w:r>
    </w:p>
    <w:p w:rsidR="00465D14" w:rsidRPr="00465D14" w:rsidRDefault="00465D14" w:rsidP="00465D14">
      <w:pPr>
        <w:pStyle w:val="a0"/>
        <w:ind w:firstLine="321"/>
        <w:rPr>
          <w:sz w:val="32"/>
          <w:szCs w:val="32"/>
        </w:rPr>
      </w:pPr>
      <w:r w:rsidRPr="00465D14">
        <w:rPr>
          <w:rFonts w:hint="eastAsia"/>
          <w:sz w:val="32"/>
          <w:szCs w:val="32"/>
        </w:rPr>
        <w:t>（项目编号：</w:t>
      </w:r>
      <w:r w:rsidRPr="00331E39">
        <w:rPr>
          <w:rFonts w:ascii="仿宋_GB2312" w:eastAsia="仿宋_GB2312" w:hAnsi="宋体"/>
          <w:sz w:val="32"/>
          <w:szCs w:val="32"/>
        </w:rPr>
        <w:t>NFYKDSZKQ-XXH-WLAQ</w:t>
      </w:r>
      <w:r>
        <w:rPr>
          <w:rFonts w:ascii="仿宋_GB2312" w:eastAsia="仿宋_GB2312" w:hAnsi="宋体" w:hint="eastAsia"/>
          <w:sz w:val="32"/>
          <w:szCs w:val="32"/>
        </w:rPr>
        <w:t>TZK</w:t>
      </w:r>
      <w:r w:rsidRPr="00331E39">
        <w:rPr>
          <w:rFonts w:ascii="仿宋_GB2312" w:eastAsia="仿宋_GB2312" w:hAnsi="宋体"/>
          <w:sz w:val="32"/>
          <w:szCs w:val="32"/>
        </w:rPr>
        <w:t>-202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331E39">
        <w:rPr>
          <w:rFonts w:ascii="仿宋_GB2312" w:eastAsia="仿宋_GB2312" w:hAnsi="宋体"/>
          <w:sz w:val="32"/>
          <w:szCs w:val="32"/>
        </w:rPr>
        <w:t>020</w:t>
      </w:r>
      <w:r w:rsidR="00712B14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001</w:t>
      </w:r>
      <w:r w:rsidRPr="00465D14">
        <w:rPr>
          <w:rFonts w:hint="eastAsia"/>
          <w:sz w:val="32"/>
          <w:szCs w:val="32"/>
        </w:rPr>
        <w:t>）</w:t>
      </w:r>
    </w:p>
    <w:tbl>
      <w:tblPr>
        <w:tblW w:w="10731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496"/>
        <w:gridCol w:w="2059"/>
        <w:gridCol w:w="4184"/>
      </w:tblGrid>
      <w:tr w:rsidR="001F3AF3" w:rsidTr="00977641">
        <w:trPr>
          <w:tblCellSpacing w:w="0" w:type="dxa"/>
          <w:jc w:val="center"/>
        </w:trPr>
        <w:tc>
          <w:tcPr>
            <w:tcW w:w="992" w:type="dxa"/>
            <w:vAlign w:val="center"/>
          </w:tcPr>
          <w:p w:rsidR="001F3AF3" w:rsidRDefault="00712B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496" w:type="dxa"/>
            <w:vAlign w:val="center"/>
          </w:tcPr>
          <w:p w:rsidR="001F3AF3" w:rsidRDefault="00712B1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南方医科大学深圳口腔医院（坪山）网</w:t>
            </w:r>
            <w:r w:rsidR="005867C7" w:rsidRPr="005867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网络信息安全设备及系统规则库特征库更新升级项目</w:t>
            </w:r>
          </w:p>
        </w:tc>
        <w:tc>
          <w:tcPr>
            <w:tcW w:w="2059" w:type="dxa"/>
            <w:vAlign w:val="center"/>
          </w:tcPr>
          <w:p w:rsidR="001F3AF3" w:rsidRDefault="00712B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是否预选项目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vAlign w:val="center"/>
          </w:tcPr>
          <w:p w:rsidR="001F3AF3" w:rsidRDefault="00712B1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1F3AF3" w:rsidTr="00977641">
        <w:trPr>
          <w:tblCellSpacing w:w="0" w:type="dxa"/>
          <w:jc w:val="center"/>
        </w:trPr>
        <w:tc>
          <w:tcPr>
            <w:tcW w:w="992" w:type="dxa"/>
            <w:vAlign w:val="center"/>
          </w:tcPr>
          <w:p w:rsidR="001F3AF3" w:rsidRDefault="00712B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预算限额（元）</w:t>
            </w:r>
          </w:p>
        </w:tc>
        <w:tc>
          <w:tcPr>
            <w:tcW w:w="9739" w:type="dxa"/>
            <w:gridSpan w:val="3"/>
            <w:vAlign w:val="center"/>
          </w:tcPr>
          <w:p w:rsidR="001F3AF3" w:rsidRDefault="006C58B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市场调研后确定</w:t>
            </w:r>
            <w:bookmarkStart w:id="0" w:name="_GoBack"/>
            <w:bookmarkEnd w:id="0"/>
          </w:p>
        </w:tc>
      </w:tr>
      <w:tr w:rsidR="001F3AF3" w:rsidTr="00977641">
        <w:trPr>
          <w:tblCellSpacing w:w="0" w:type="dxa"/>
          <w:jc w:val="center"/>
        </w:trPr>
        <w:tc>
          <w:tcPr>
            <w:tcW w:w="992" w:type="dxa"/>
            <w:vAlign w:val="center"/>
          </w:tcPr>
          <w:p w:rsidR="001F3AF3" w:rsidRDefault="00712B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项目背景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39" w:type="dxa"/>
            <w:gridSpan w:val="3"/>
            <w:vAlign w:val="center"/>
          </w:tcPr>
          <w:p w:rsidR="001F3AF3" w:rsidRDefault="00712B14" w:rsidP="003A4570">
            <w:pPr>
              <w:spacing w:line="400" w:lineRule="exact"/>
              <w:ind w:firstLineChars="200" w:firstLine="400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根据医院网络安全现状，提高网络安全防御能力，目前医院在用的部分安全设备，如WAF防火墙、上网行为审计、数据中心防火墙、负载均衡、杀毒软件、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等保一体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机等设备</w:t>
            </w:r>
            <w:r w:rsidR="003A45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的规则库和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特征库</w:t>
            </w:r>
            <w:r w:rsidR="003A45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升级授权已过有效期，需</w:t>
            </w:r>
            <w:r w:rsidR="003A45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针对此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进行升级和</w:t>
            </w:r>
            <w:r w:rsidR="0003164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</w:t>
            </w:r>
            <w:r w:rsidR="003A45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更新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授权，并负责更新后设备检查并出具报告，</w:t>
            </w:r>
            <w:r w:rsidR="00F2020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以及对</w:t>
            </w:r>
            <w:proofErr w:type="gramStart"/>
            <w:r w:rsidR="00F2020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院内域控和</w:t>
            </w:r>
            <w:proofErr w:type="gramEnd"/>
            <w:r w:rsidR="00F2020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补丁更新系统提供更新维护，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保障</w:t>
            </w:r>
            <w:r w:rsidR="003A45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院内网络信息安全，保障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</w:t>
            </w:r>
            <w:r w:rsidR="003A45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安全稳定。</w:t>
            </w:r>
          </w:p>
        </w:tc>
      </w:tr>
      <w:tr w:rsidR="001F3AF3" w:rsidTr="00977641">
        <w:trPr>
          <w:tblCellSpacing w:w="0" w:type="dxa"/>
          <w:jc w:val="center"/>
        </w:trPr>
        <w:tc>
          <w:tcPr>
            <w:tcW w:w="992" w:type="dxa"/>
            <w:vAlign w:val="center"/>
          </w:tcPr>
          <w:p w:rsidR="001F3AF3" w:rsidRDefault="00B3464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参与本项目市场调研的厂商</w:t>
            </w:r>
            <w:r w:rsidR="00712B14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资质要求</w:t>
            </w:r>
            <w:r w:rsidR="00712B1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39" w:type="dxa"/>
            <w:gridSpan w:val="3"/>
            <w:vAlign w:val="center"/>
          </w:tcPr>
          <w:p w:rsidR="00236386" w:rsidRPr="00EC15D3" w:rsidRDefault="00236386" w:rsidP="0023638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1）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人必须具有独立法人资格（提供营业执照原件</w:t>
            </w:r>
            <w:proofErr w:type="gramStart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扫描件并加盖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人公章）。</w:t>
            </w:r>
          </w:p>
          <w:p w:rsidR="00236386" w:rsidRPr="00EC15D3" w:rsidRDefault="00236386" w:rsidP="0023638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2）本项目不接受联合体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，不允许分包、转包，不接受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人选用进口产品参与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(由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人在《政府采购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及履约承诺函》中</w:t>
            </w:r>
            <w:proofErr w:type="gramStart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作出</w:t>
            </w:r>
            <w:proofErr w:type="gramEnd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声明）。</w:t>
            </w:r>
          </w:p>
          <w:p w:rsidR="00236386" w:rsidRPr="00EC15D3" w:rsidRDefault="00236386" w:rsidP="0023638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3）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人近三年内无行贿犯罪记录（由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人在《政府采购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及履约承诺函》中</w:t>
            </w:r>
            <w:proofErr w:type="gramStart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作出</w:t>
            </w:r>
            <w:proofErr w:type="gramEnd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声明）。</w:t>
            </w:r>
          </w:p>
          <w:p w:rsidR="00236386" w:rsidRPr="00EC15D3" w:rsidRDefault="00236386" w:rsidP="0023638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4）参与本项目的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人未被列入“信用中国”网站(www.creditchina.gov.cn)以下情形之一：①记录失信被执行人，②重大税收违法案件当事人名单（由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人提供“信用中国”网站①记录失信被执行人名单查询截图、②重大税收违法案件当事人名单查询截图）。</w:t>
            </w:r>
          </w:p>
          <w:p w:rsidR="001F3AF3" w:rsidRPr="00B34649" w:rsidRDefault="00236386" w:rsidP="00236386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5）参与本项目的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人不存在被有关部门禁止参与政府采购活动且在有效期内的情况（由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人在《政府采购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报价</w:t>
            </w:r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及履约承诺函》中</w:t>
            </w:r>
            <w:proofErr w:type="gramStart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作出</w:t>
            </w:r>
            <w:proofErr w:type="gramEnd"/>
            <w:r w:rsidRPr="00EC15D3">
              <w:rPr>
                <w:rFonts w:ascii="宋体" w:hAnsi="宋体" w:cs="宋体" w:hint="eastAsia"/>
                <w:kern w:val="0"/>
                <w:sz w:val="20"/>
                <w:szCs w:val="20"/>
              </w:rPr>
              <w:t>声明）。</w:t>
            </w:r>
          </w:p>
        </w:tc>
      </w:tr>
      <w:tr w:rsidR="001F3AF3" w:rsidTr="00977641">
        <w:trPr>
          <w:tblCellSpacing w:w="0" w:type="dxa"/>
          <w:jc w:val="center"/>
        </w:trPr>
        <w:tc>
          <w:tcPr>
            <w:tcW w:w="992" w:type="dxa"/>
            <w:vAlign w:val="center"/>
          </w:tcPr>
          <w:p w:rsidR="001F3AF3" w:rsidRDefault="001764E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需要升级的设备及升级需求</w:t>
            </w:r>
            <w:r w:rsidR="00712B14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清单</w:t>
            </w:r>
            <w:r w:rsidR="00712B14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39" w:type="dxa"/>
            <w:gridSpan w:val="3"/>
            <w:vAlign w:val="center"/>
          </w:tcPr>
          <w:tbl>
            <w:tblPr>
              <w:tblW w:w="4997" w:type="pct"/>
              <w:tblLook w:val="04A0" w:firstRow="1" w:lastRow="0" w:firstColumn="1" w:lastColumn="0" w:noHBand="0" w:noVBand="1"/>
            </w:tblPr>
            <w:tblGrid>
              <w:gridCol w:w="511"/>
              <w:gridCol w:w="2086"/>
              <w:gridCol w:w="647"/>
              <w:gridCol w:w="1641"/>
              <w:gridCol w:w="1507"/>
              <w:gridCol w:w="2367"/>
              <w:gridCol w:w="904"/>
            </w:tblGrid>
            <w:tr w:rsidR="00812101" w:rsidTr="00001CD7">
              <w:trPr>
                <w:trHeight w:val="62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D9F1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D9F1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产品名称及型号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D9F1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数量(台)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D9F1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采购时间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D9F1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过期时间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D9F1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升级名称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D9F1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000000"/>
                      <w:kern w:val="0"/>
                      <w:sz w:val="20"/>
                      <w:szCs w:val="20"/>
                      <w:lang w:bidi="ar"/>
                    </w:rPr>
                    <w:t>续费年限(年)/数量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网数据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中心防火墙NSG5000-TG25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2023.01.22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入侵防御库+病毒库+威胁情报库+应用识别库+URL库升级更新授权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外网应用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防火墙防火墙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NSG5000-TG25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2019-08-05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2023.01.06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入侵防御库+病毒库+威胁情报库+应用识别库+URL库升级更新授权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VPN-1000-B400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2022-</w:t>
                  </w:r>
                  <w:r w:rsidR="00DB0D85"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  <w:t>09</w:t>
                  </w: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-</w:t>
                  </w:r>
                  <w:r w:rsidR="00DB0D85"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  <w:t>03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软件升级</w:t>
                  </w:r>
                  <w:r w:rsidR="00232D8F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授权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lastRenderedPageBreak/>
                    <w:t>4</w:t>
                  </w:r>
                </w:p>
              </w:tc>
              <w:tc>
                <w:tcPr>
                  <w:tcW w:w="1079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上网行为审计AC-1000-F620</w:t>
                  </w:r>
                </w:p>
              </w:tc>
              <w:tc>
                <w:tcPr>
                  <w:tcW w:w="33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</w:p>
              </w:tc>
              <w:tc>
                <w:tcPr>
                  <w:tcW w:w="849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2022-09-03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URL&amp;应用识别规则库升级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9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35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9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2022-09-03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232D8F" w:rsidP="00232D8F">
                  <w:pPr>
                    <w:widowControl/>
                    <w:spacing w:line="400" w:lineRule="exact"/>
                    <w:ind w:firstLineChars="300" w:firstLine="600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+</w:t>
                  </w:r>
                  <w:r w:rsidR="00812101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软件升级</w:t>
                  </w:r>
                  <w:r w:rsidR="001A573A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授权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等保一体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机-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堡垒机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OSM-1000-V100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2022-08-23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软件升级</w:t>
                  </w:r>
                  <w:r w:rsidR="001A573A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授权</w:t>
                  </w: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（OSM-1000-V100)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日志审计LAS运维安全管理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2022-08-23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软件升级</w:t>
                  </w:r>
                  <w:r w:rsidR="00232D8F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授权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等保一体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机（平台）CSSP-3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2022-08-23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云安全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服务平台软件升级与规则库更新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8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负载均衡AD-1000-E640-P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2023/10/31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软件升级</w:t>
                  </w:r>
                  <w:r w:rsidR="00790B04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授权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WAF防火墙WAF-1000-DA00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2020-09-25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2023-10-25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AF3FB0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proofErr w:type="gramStart"/>
                  <w:r w:rsidRPr="00AF3F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云智订阅</w:t>
                  </w:r>
                  <w:proofErr w:type="gramEnd"/>
                  <w:r w:rsidRPr="00AF3FB0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软件</w:t>
                  </w: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+软件升级授权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杀毒软件-天擎（虚拟化）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2019-08-10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2023.01.10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Windows </w:t>
                  </w:r>
                  <w:proofErr w:type="spell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server+Linux</w:t>
                  </w:r>
                  <w:proofErr w:type="spell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 xml:space="preserve"> server,入侵防御+病毒库+防火墙+WEBSHELL扫描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  <w:r w:rsidR="00D748A8"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AA235A" w:rsidP="00001CD7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深信服</w:t>
                  </w:r>
                  <w:r w:rsidR="00812101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超融合平台虚拟化软件-(</w:t>
                  </w:r>
                  <w:proofErr w:type="spellStart"/>
                  <w:r w:rsidR="00812101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aCloud</w:t>
                  </w:r>
                  <w:proofErr w:type="spellEnd"/>
                  <w:r w:rsidR="00812101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)系列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50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2019-08-23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2022-08-23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软件授权</w:t>
                  </w:r>
                  <w:r w:rsidR="001A573A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更新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  <w:r w:rsidR="00D748A8"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微软AD域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2020-8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2021-10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微软AD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域控维护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更新与升级，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包含</w:t>
                  </w:r>
                  <w:r w:rsidR="00F35045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域控主机</w:t>
                  </w:r>
                  <w:proofErr w:type="gramEnd"/>
                  <w:r w:rsidR="00F35045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和</w:t>
                  </w: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200台客户端，域策略</w:t>
                  </w:r>
                  <w:r w:rsidR="007A38BC"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更新</w:t>
                  </w: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、域安全管理等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  <w:tr w:rsidR="00812101" w:rsidTr="00001CD7">
              <w:trPr>
                <w:trHeight w:val="300"/>
              </w:trPr>
              <w:tc>
                <w:tcPr>
                  <w:tcW w:w="2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  <w:r w:rsidR="00D748A8"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微软WSUS补丁更新升级</w:t>
                  </w:r>
                </w:p>
              </w:tc>
              <w:tc>
                <w:tcPr>
                  <w:tcW w:w="33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spacing w:line="400" w:lineRule="exact"/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2020-8</w:t>
                  </w:r>
                </w:p>
              </w:tc>
              <w:tc>
                <w:tcPr>
                  <w:tcW w:w="78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2021-10</w:t>
                  </w:r>
                </w:p>
              </w:tc>
              <w:tc>
                <w:tcPr>
                  <w:tcW w:w="12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微软WSUS补丁更新升级，含虚拟机、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物理机补丁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升级更新，包含200台客户端补丁升级，对补丁核查和归档</w:t>
                  </w:r>
                </w:p>
              </w:tc>
              <w:tc>
                <w:tcPr>
                  <w:tcW w:w="4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12101" w:rsidRDefault="00812101" w:rsidP="00001CD7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1年</w:t>
                  </w:r>
                </w:p>
              </w:tc>
            </w:tr>
          </w:tbl>
          <w:p w:rsidR="00820239" w:rsidRDefault="00812101" w:rsidP="00820239">
            <w:pPr>
              <w:pStyle w:val="a0"/>
              <w:ind w:firstLine="211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注：</w:t>
            </w:r>
            <w:r w:rsidR="00820239">
              <w:rPr>
                <w:rFonts w:hint="eastAsia"/>
                <w:highlight w:val="yellow"/>
              </w:rPr>
              <w:t>1.</w:t>
            </w:r>
            <w:r>
              <w:rPr>
                <w:rFonts w:hint="eastAsia"/>
                <w:highlight w:val="yellow"/>
              </w:rPr>
              <w:t>以上设备的续保时间，要求从合同签订之日起开始计算，与设备过</w:t>
            </w:r>
            <w:proofErr w:type="gramStart"/>
            <w:r>
              <w:rPr>
                <w:rFonts w:hint="eastAsia"/>
                <w:highlight w:val="yellow"/>
              </w:rPr>
              <w:t>保时间</w:t>
            </w:r>
            <w:proofErr w:type="gramEnd"/>
            <w:r>
              <w:rPr>
                <w:rFonts w:hint="eastAsia"/>
                <w:highlight w:val="yellow"/>
              </w:rPr>
              <w:t>无关</w:t>
            </w:r>
            <w:r w:rsidR="00820239">
              <w:rPr>
                <w:rFonts w:hint="eastAsia"/>
                <w:highlight w:val="yellow"/>
              </w:rPr>
              <w:t>。</w:t>
            </w:r>
          </w:p>
          <w:p w:rsidR="00DF7AE9" w:rsidRDefault="00820239" w:rsidP="00820239">
            <w:pPr>
              <w:pStyle w:val="a0"/>
              <w:ind w:firstLineChars="296" w:firstLine="624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2.</w:t>
            </w:r>
            <w:r>
              <w:rPr>
                <w:rFonts w:hint="eastAsia"/>
                <w:highlight w:val="yellow"/>
              </w:rPr>
              <w:t>请参加市场调研的厂商，按照上面设备分项报价</w:t>
            </w:r>
            <w:r w:rsidR="00DF7AE9">
              <w:rPr>
                <w:rFonts w:hint="eastAsia"/>
                <w:highlight w:val="yellow"/>
              </w:rPr>
              <w:t>。</w:t>
            </w:r>
          </w:p>
          <w:p w:rsidR="00DF7AE9" w:rsidRPr="00812101" w:rsidRDefault="00DF7AE9" w:rsidP="00DF7AE9">
            <w:pPr>
              <w:pStyle w:val="a0"/>
              <w:ind w:firstLineChars="296" w:firstLine="624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3.</w:t>
            </w:r>
            <w:r w:rsidR="00C151E4">
              <w:rPr>
                <w:rFonts w:hint="eastAsia"/>
                <w:highlight w:val="yellow"/>
              </w:rPr>
              <w:t>更新升级</w:t>
            </w:r>
            <w:r>
              <w:rPr>
                <w:rFonts w:hint="eastAsia"/>
                <w:highlight w:val="yellow"/>
              </w:rPr>
              <w:t>调研需求为默认为</w:t>
            </w:r>
            <w:r>
              <w:rPr>
                <w:rFonts w:hint="eastAsia"/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年，各供应商可提供</w:t>
            </w:r>
            <w:r>
              <w:rPr>
                <w:rFonts w:hint="eastAsia"/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年，</w:t>
            </w:r>
            <w:r>
              <w:rPr>
                <w:rFonts w:hint="eastAsia"/>
                <w:highlight w:val="yellow"/>
              </w:rPr>
              <w:t>2</w:t>
            </w:r>
            <w:r>
              <w:rPr>
                <w:rFonts w:hint="eastAsia"/>
                <w:highlight w:val="yellow"/>
              </w:rPr>
              <w:t>年或</w:t>
            </w:r>
            <w:r>
              <w:rPr>
                <w:rFonts w:hint="eastAsia"/>
                <w:highlight w:val="yellow"/>
              </w:rPr>
              <w:t>3</w:t>
            </w:r>
            <w:r>
              <w:rPr>
                <w:rFonts w:hint="eastAsia"/>
                <w:highlight w:val="yellow"/>
              </w:rPr>
              <w:t>年的升级报价</w:t>
            </w:r>
            <w:r w:rsidR="00812101">
              <w:rPr>
                <w:rFonts w:hint="eastAsia"/>
                <w:highlight w:val="yellow"/>
              </w:rPr>
              <w:t>。</w:t>
            </w:r>
          </w:p>
        </w:tc>
      </w:tr>
      <w:tr w:rsidR="001F3AF3" w:rsidTr="00977641">
        <w:trPr>
          <w:trHeight w:val="538"/>
          <w:tblCellSpacing w:w="0" w:type="dxa"/>
          <w:jc w:val="center"/>
        </w:trPr>
        <w:tc>
          <w:tcPr>
            <w:tcW w:w="992" w:type="dxa"/>
            <w:vAlign w:val="center"/>
          </w:tcPr>
          <w:p w:rsidR="001F3AF3" w:rsidRDefault="00712B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服务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39" w:type="dxa"/>
            <w:gridSpan w:val="3"/>
            <w:vAlign w:val="center"/>
          </w:tcPr>
          <w:p w:rsidR="001F3AF3" w:rsidRDefault="00712B14">
            <w:pPr>
              <w:widowControl/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proofErr w:type="gramStart"/>
            <w:r w:rsidR="000715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非设备</w:t>
            </w:r>
            <w:proofErr w:type="gramEnd"/>
            <w:r w:rsidR="000715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生产厂家的报价企业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需提供</w:t>
            </w:r>
            <w:r w:rsidR="00B964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设备厂商的规则库更新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升级授权</w:t>
            </w:r>
            <w:r w:rsidR="00B964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需提供设备原厂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商实施和安装服务</w:t>
            </w:r>
            <w:r w:rsidR="000715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B964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负责软件和设备更新后的整体检查，并出具所有设备的更新和巡检检查报告，保障设备安全和稳定。</w:t>
            </w:r>
            <w:r w:rsidR="009F522E" w:rsidRPr="009F52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微软AD域和WSUS补丁更新升级系统，需提供微软认证</w:t>
            </w:r>
            <w:r w:rsidR="009F52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</w:t>
            </w:r>
            <w:r w:rsidR="009F522E" w:rsidRPr="009F52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服务。</w:t>
            </w:r>
          </w:p>
          <w:p w:rsidR="006646E8" w:rsidRPr="006646E8" w:rsidRDefault="00071518" w:rsidP="006646E8">
            <w:pPr>
              <w:widowControl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12B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.提供售后技术服务1年。</w:t>
            </w:r>
          </w:p>
          <w:p w:rsidR="001F3AF3" w:rsidRDefault="001F3AF3">
            <w:pPr>
              <w:widowControl/>
              <w:spacing w:line="360" w:lineRule="auto"/>
              <w:ind w:hanging="72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F3AF3" w:rsidTr="00977641">
        <w:trPr>
          <w:trHeight w:val="112"/>
          <w:tblCellSpacing w:w="0" w:type="dxa"/>
          <w:jc w:val="center"/>
        </w:trPr>
        <w:tc>
          <w:tcPr>
            <w:tcW w:w="992" w:type="dxa"/>
            <w:vAlign w:val="center"/>
          </w:tcPr>
          <w:p w:rsidR="001F3AF3" w:rsidRDefault="00712B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商务需求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739" w:type="dxa"/>
            <w:gridSpan w:val="3"/>
            <w:vAlign w:val="center"/>
          </w:tcPr>
          <w:p w:rsidR="00105953" w:rsidRDefault="00712B1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  </w:t>
            </w:r>
          </w:p>
          <w:tbl>
            <w:tblPr>
              <w:tblW w:w="924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3"/>
              <w:gridCol w:w="1527"/>
              <w:gridCol w:w="6619"/>
            </w:tblGrid>
            <w:tr w:rsidR="00105953" w:rsidTr="00311679">
              <w:trPr>
                <w:trHeight w:val="397"/>
              </w:trPr>
              <w:tc>
                <w:tcPr>
                  <w:tcW w:w="1103" w:type="dxa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序号</w:t>
                  </w:r>
                </w:p>
              </w:tc>
              <w:tc>
                <w:tcPr>
                  <w:tcW w:w="1527" w:type="dxa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目录</w:t>
                  </w:r>
                </w:p>
              </w:tc>
              <w:tc>
                <w:tcPr>
                  <w:tcW w:w="6619" w:type="dxa"/>
                  <w:vAlign w:val="center"/>
                </w:tcPr>
                <w:p w:rsidR="00105953" w:rsidRDefault="004366A0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报价</w:t>
                  </w:r>
                  <w:r w:rsidR="00105953">
                    <w:rPr>
                      <w:rFonts w:hint="eastAsia"/>
                      <w:b/>
                    </w:rPr>
                    <w:t>商务需求</w:t>
                  </w:r>
                </w:p>
              </w:tc>
            </w:tr>
            <w:tr w:rsidR="00105953" w:rsidTr="004B528D">
              <w:trPr>
                <w:trHeight w:val="280"/>
              </w:trPr>
              <w:tc>
                <w:tcPr>
                  <w:tcW w:w="9249" w:type="dxa"/>
                  <w:gridSpan w:val="3"/>
                </w:tcPr>
                <w:p w:rsidR="00105953" w:rsidRDefault="00105953" w:rsidP="004B528D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（一）售后服务要求</w:t>
                  </w:r>
                </w:p>
              </w:tc>
            </w:tr>
            <w:tr w:rsidR="00105953" w:rsidTr="00311679">
              <w:trPr>
                <w:trHeight w:val="462"/>
              </w:trPr>
              <w:tc>
                <w:tcPr>
                  <w:tcW w:w="1103" w:type="dxa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</w:t>
                  </w:r>
                </w:p>
              </w:tc>
              <w:tc>
                <w:tcPr>
                  <w:tcW w:w="1527" w:type="dxa"/>
                  <w:vAlign w:val="center"/>
                </w:tcPr>
                <w:p w:rsidR="00105953" w:rsidRDefault="00105953" w:rsidP="004B528D">
                  <w:r>
                    <w:rPr>
                      <w:rFonts w:hint="eastAsia"/>
                    </w:rPr>
                    <w:t>项目服务期</w:t>
                  </w:r>
                </w:p>
              </w:tc>
              <w:tc>
                <w:tcPr>
                  <w:tcW w:w="6619" w:type="dxa"/>
                </w:tcPr>
                <w:p w:rsidR="00105953" w:rsidRDefault="00105953" w:rsidP="00071518">
                  <w:pPr>
                    <w:rPr>
                      <w:b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项目服务期为签订合同</w:t>
                  </w:r>
                  <w:r w:rsidR="00071518">
                    <w:rPr>
                      <w:rFonts w:hint="eastAsia"/>
                      <w:bCs/>
                      <w:szCs w:val="21"/>
                    </w:rPr>
                    <w:t>后，并且所列</w:t>
                  </w:r>
                  <w:r>
                    <w:rPr>
                      <w:rFonts w:hint="eastAsia"/>
                      <w:bCs/>
                      <w:szCs w:val="21"/>
                    </w:rPr>
                    <w:t>设备</w:t>
                  </w:r>
                  <w:r w:rsidR="00071518">
                    <w:rPr>
                      <w:rFonts w:hint="eastAsia"/>
                      <w:bCs/>
                      <w:szCs w:val="21"/>
                    </w:rPr>
                    <w:t>的</w:t>
                  </w:r>
                  <w:r>
                    <w:rPr>
                      <w:rFonts w:hint="eastAsia"/>
                      <w:bCs/>
                      <w:szCs w:val="21"/>
                    </w:rPr>
                    <w:t>授权</w:t>
                  </w:r>
                  <w:r w:rsidR="00071518">
                    <w:rPr>
                      <w:rFonts w:hint="eastAsia"/>
                      <w:bCs/>
                      <w:szCs w:val="21"/>
                    </w:rPr>
                    <w:t>和规则库授权更新完成之日起</w:t>
                  </w:r>
                  <w:r w:rsidR="00071518">
                    <w:rPr>
                      <w:rFonts w:hint="eastAsia"/>
                      <w:bCs/>
                      <w:szCs w:val="21"/>
                    </w:rPr>
                    <w:t>1</w:t>
                  </w:r>
                  <w:r w:rsidR="00071518">
                    <w:rPr>
                      <w:rFonts w:hint="eastAsia"/>
                      <w:bCs/>
                      <w:szCs w:val="21"/>
                    </w:rPr>
                    <w:t>年内。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105953" w:rsidTr="00311679">
              <w:trPr>
                <w:trHeight w:val="462"/>
              </w:trPr>
              <w:tc>
                <w:tcPr>
                  <w:tcW w:w="1103" w:type="dxa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</w:t>
                  </w:r>
                </w:p>
              </w:tc>
              <w:tc>
                <w:tcPr>
                  <w:tcW w:w="1527" w:type="dxa"/>
                  <w:vAlign w:val="center"/>
                </w:tcPr>
                <w:p w:rsidR="00105953" w:rsidRDefault="00105953" w:rsidP="004B528D">
                  <w:r>
                    <w:rPr>
                      <w:rFonts w:hint="eastAsia"/>
                    </w:rPr>
                    <w:t>项目服务地点</w:t>
                  </w:r>
                </w:p>
              </w:tc>
              <w:tc>
                <w:tcPr>
                  <w:tcW w:w="6619" w:type="dxa"/>
                </w:tcPr>
                <w:p w:rsidR="00105953" w:rsidRDefault="00105953" w:rsidP="004B528D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南方医科大学深圳口腔医院（坪山）</w:t>
                  </w:r>
                </w:p>
              </w:tc>
            </w:tr>
            <w:tr w:rsidR="00105953" w:rsidTr="00311679">
              <w:trPr>
                <w:trHeight w:val="320"/>
              </w:trPr>
              <w:tc>
                <w:tcPr>
                  <w:tcW w:w="1103" w:type="dxa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</w:t>
                  </w:r>
                </w:p>
              </w:tc>
              <w:tc>
                <w:tcPr>
                  <w:tcW w:w="1527" w:type="dxa"/>
                </w:tcPr>
                <w:p w:rsidR="00105953" w:rsidRDefault="00105953" w:rsidP="004B528D">
                  <w:r>
                    <w:rPr>
                      <w:rFonts w:hint="eastAsia"/>
                    </w:rPr>
                    <w:t>响应及故障解决时间</w:t>
                  </w:r>
                </w:p>
              </w:tc>
              <w:tc>
                <w:tcPr>
                  <w:tcW w:w="6619" w:type="dxa"/>
                </w:tcPr>
                <w:p w:rsidR="00105953" w:rsidRDefault="00105953" w:rsidP="004B528D">
                  <w:pPr>
                    <w:rPr>
                      <w:b/>
                    </w:rPr>
                  </w:pP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为医院提供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7*24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小时响应服务，需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1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小时内响应，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2</w:t>
                  </w: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小时内到达医院现场，维护后需提供维修</w:t>
                  </w:r>
                  <w:r>
                    <w:rPr>
                      <w:rFonts w:hint="eastAsia"/>
                      <w:bCs/>
                      <w:szCs w:val="21"/>
                    </w:rPr>
                    <w:t>报告医院签字确认。</w:t>
                  </w:r>
                </w:p>
              </w:tc>
            </w:tr>
            <w:tr w:rsidR="00B33D4F" w:rsidTr="00311679">
              <w:trPr>
                <w:trHeight w:val="320"/>
              </w:trPr>
              <w:tc>
                <w:tcPr>
                  <w:tcW w:w="1103" w:type="dxa"/>
                  <w:vAlign w:val="center"/>
                </w:tcPr>
                <w:p w:rsidR="00B33D4F" w:rsidRDefault="00B33D4F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</w:t>
                  </w:r>
                </w:p>
              </w:tc>
              <w:tc>
                <w:tcPr>
                  <w:tcW w:w="1527" w:type="dxa"/>
                </w:tcPr>
                <w:p w:rsidR="00B33D4F" w:rsidRDefault="00B33D4F" w:rsidP="004B528D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6619" w:type="dxa"/>
                </w:tcPr>
                <w:p w:rsidR="00B33D4F" w:rsidRDefault="00B33D4F" w:rsidP="004B528D">
                  <w:pPr>
                    <w:rPr>
                      <w:rFonts w:ascii="Calibri" w:eastAsia="宋体" w:hAnsi="Calibri" w:cs="Times New Roman"/>
                      <w:bCs/>
                      <w:szCs w:val="21"/>
                    </w:rPr>
                  </w:pPr>
                  <w:r>
                    <w:rPr>
                      <w:rFonts w:ascii="Calibri" w:eastAsia="宋体" w:hAnsi="Calibri" w:cs="Times New Roman" w:hint="eastAsia"/>
                      <w:bCs/>
                      <w:szCs w:val="21"/>
                    </w:rPr>
                    <w:t>无</w:t>
                  </w:r>
                </w:p>
              </w:tc>
            </w:tr>
            <w:tr w:rsidR="00105953" w:rsidTr="004B528D">
              <w:trPr>
                <w:trHeight w:val="350"/>
              </w:trPr>
              <w:tc>
                <w:tcPr>
                  <w:tcW w:w="9249" w:type="dxa"/>
                  <w:gridSpan w:val="3"/>
                </w:tcPr>
                <w:p w:rsidR="00105953" w:rsidRDefault="00105953" w:rsidP="004B528D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（二）其他要求</w:t>
                  </w:r>
                </w:p>
              </w:tc>
            </w:tr>
            <w:tr w:rsidR="00105953" w:rsidTr="00311679">
              <w:trPr>
                <w:trHeight w:val="350"/>
              </w:trPr>
              <w:tc>
                <w:tcPr>
                  <w:tcW w:w="1103" w:type="dxa"/>
                  <w:vMerge w:val="restart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</w:t>
                  </w: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105953" w:rsidRDefault="008362A1" w:rsidP="004B528D">
                  <w:r>
                    <w:rPr>
                      <w:rFonts w:ascii="宋体" w:eastAsia="宋体" w:hAnsi="宋体" w:cs="宋体" w:hint="eastAsia"/>
                      <w:szCs w:val="21"/>
                    </w:rPr>
                    <w:t>★</w:t>
                  </w:r>
                  <w:r w:rsidR="00105953">
                    <w:rPr>
                      <w:rFonts w:hint="eastAsia"/>
                    </w:rPr>
                    <w:t>关于交货</w:t>
                  </w:r>
                </w:p>
              </w:tc>
              <w:tc>
                <w:tcPr>
                  <w:tcW w:w="6619" w:type="dxa"/>
                </w:tcPr>
                <w:p w:rsidR="00105953" w:rsidRDefault="00105953" w:rsidP="004B528D">
                  <w:pPr>
                    <w:rPr>
                      <w:b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1.1</w:t>
                  </w:r>
                  <w:r>
                    <w:rPr>
                      <w:rFonts w:hint="eastAsia"/>
                      <w:bCs/>
                      <w:szCs w:val="21"/>
                    </w:rPr>
                    <w:t>合同签订后，</w:t>
                  </w:r>
                  <w:r>
                    <w:rPr>
                      <w:rFonts w:hint="eastAsia"/>
                      <w:bCs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Cs/>
                      <w:szCs w:val="21"/>
                      <w:u w:val="single"/>
                    </w:rPr>
                    <w:t>30</w:t>
                  </w:r>
                  <w:r>
                    <w:rPr>
                      <w:rFonts w:hint="eastAsia"/>
                      <w:bCs/>
                      <w:szCs w:val="21"/>
                    </w:rPr>
                    <w:t>天（日历日）内完成更新和</w:t>
                  </w:r>
                  <w:r w:rsidR="0074076C">
                    <w:rPr>
                      <w:rFonts w:hint="eastAsia"/>
                      <w:bCs/>
                      <w:szCs w:val="21"/>
                    </w:rPr>
                    <w:t>形成</w:t>
                  </w:r>
                  <w:r>
                    <w:rPr>
                      <w:rFonts w:hint="eastAsia"/>
                      <w:bCs/>
                      <w:szCs w:val="21"/>
                    </w:rPr>
                    <w:t>巡检报告。</w:t>
                  </w:r>
                </w:p>
              </w:tc>
            </w:tr>
            <w:tr w:rsidR="00105953" w:rsidTr="00311679">
              <w:trPr>
                <w:trHeight w:val="451"/>
              </w:trPr>
              <w:tc>
                <w:tcPr>
                  <w:tcW w:w="1103" w:type="dxa"/>
                  <w:vMerge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105953" w:rsidRDefault="00105953" w:rsidP="004B528D">
                  <w:pPr>
                    <w:jc w:val="center"/>
                  </w:pPr>
                </w:p>
              </w:tc>
              <w:tc>
                <w:tcPr>
                  <w:tcW w:w="6619" w:type="dxa"/>
                  <w:vAlign w:val="center"/>
                </w:tcPr>
                <w:p w:rsidR="00105953" w:rsidRDefault="00105953" w:rsidP="004B528D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1.2</w:t>
                  </w:r>
                  <w:r w:rsidR="008362A1">
                    <w:rPr>
                      <w:rFonts w:hint="eastAsia"/>
                      <w:bCs/>
                      <w:szCs w:val="21"/>
                    </w:rPr>
                    <w:t>参与市场调研的厂商</w:t>
                  </w:r>
                  <w:r>
                    <w:rPr>
                      <w:rFonts w:hint="eastAsia"/>
                      <w:bCs/>
                      <w:szCs w:val="21"/>
                    </w:rPr>
                    <w:t>必须承担的货物运输、安装等其他类似的义务。</w:t>
                  </w:r>
                </w:p>
              </w:tc>
            </w:tr>
            <w:tr w:rsidR="00105953" w:rsidTr="00311679">
              <w:trPr>
                <w:trHeight w:val="683"/>
              </w:trPr>
              <w:tc>
                <w:tcPr>
                  <w:tcW w:w="1103" w:type="dxa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</w:t>
                  </w:r>
                </w:p>
              </w:tc>
              <w:tc>
                <w:tcPr>
                  <w:tcW w:w="1527" w:type="dxa"/>
                  <w:vAlign w:val="center"/>
                </w:tcPr>
                <w:p w:rsidR="00105953" w:rsidRDefault="008362A1" w:rsidP="004B528D">
                  <w:pPr>
                    <w:rPr>
                      <w:bCs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★</w:t>
                  </w:r>
                  <w:r w:rsidR="00105953">
                    <w:rPr>
                      <w:bCs/>
                      <w:szCs w:val="21"/>
                    </w:rPr>
                    <w:t>关于验收</w:t>
                  </w:r>
                </w:p>
              </w:tc>
              <w:tc>
                <w:tcPr>
                  <w:tcW w:w="6619" w:type="dxa"/>
                </w:tcPr>
                <w:p w:rsidR="00105953" w:rsidRDefault="008362A1" w:rsidP="00DC6D09">
                  <w:pPr>
                    <w:spacing w:line="340" w:lineRule="exact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参与市场调研的厂商</w:t>
                  </w:r>
                  <w:r w:rsidR="00105953">
                    <w:rPr>
                      <w:rFonts w:hint="eastAsia"/>
                      <w:bCs/>
                      <w:szCs w:val="21"/>
                    </w:rPr>
                    <w:t>提供</w:t>
                  </w:r>
                  <w:r w:rsidR="0074076C">
                    <w:rPr>
                      <w:rFonts w:hint="eastAsia"/>
                      <w:bCs/>
                      <w:szCs w:val="21"/>
                    </w:rPr>
                    <w:t>的</w:t>
                  </w:r>
                  <w:r w:rsidR="0074076C" w:rsidRPr="0074076C">
                    <w:rPr>
                      <w:rFonts w:hint="eastAsia"/>
                      <w:bCs/>
                      <w:szCs w:val="21"/>
                    </w:rPr>
                    <w:t>规则库特征库</w:t>
                  </w:r>
                  <w:r w:rsidR="00DC6D09">
                    <w:rPr>
                      <w:rFonts w:hint="eastAsia"/>
                      <w:bCs/>
                      <w:szCs w:val="21"/>
                    </w:rPr>
                    <w:t>产品，需要提供设备原厂商</w:t>
                  </w:r>
                  <w:r w:rsidR="00105953">
                    <w:rPr>
                      <w:rFonts w:hint="eastAsia"/>
                      <w:bCs/>
                      <w:szCs w:val="21"/>
                    </w:rPr>
                    <w:t>实施和安装服务</w:t>
                  </w:r>
                  <w:r w:rsidR="0074076C">
                    <w:rPr>
                      <w:rFonts w:hint="eastAsia"/>
                      <w:bCs/>
                      <w:szCs w:val="21"/>
                    </w:rPr>
                    <w:t>，</w:t>
                  </w:r>
                  <w:r w:rsidR="00105953">
                    <w:rPr>
                      <w:rFonts w:hint="eastAsia"/>
                      <w:bCs/>
                      <w:szCs w:val="21"/>
                    </w:rPr>
                    <w:t>负责软件和设备更新后的整体检查，出具更新和检查报告</w:t>
                  </w:r>
                  <w:r w:rsidR="0074076C">
                    <w:rPr>
                      <w:rFonts w:hint="eastAsia"/>
                      <w:bCs/>
                      <w:szCs w:val="21"/>
                    </w:rPr>
                    <w:t>由设备厂商盖章后，</w:t>
                  </w:r>
                  <w:r w:rsidR="00105953">
                    <w:rPr>
                      <w:rFonts w:hint="eastAsia"/>
                      <w:bCs/>
                      <w:szCs w:val="21"/>
                    </w:rPr>
                    <w:t>甲方</w:t>
                  </w:r>
                  <w:r w:rsidR="0074076C">
                    <w:rPr>
                      <w:rFonts w:hint="eastAsia"/>
                      <w:bCs/>
                      <w:szCs w:val="21"/>
                    </w:rPr>
                    <w:t>才</w:t>
                  </w:r>
                  <w:r w:rsidR="00105953">
                    <w:rPr>
                      <w:rFonts w:hint="eastAsia"/>
                      <w:bCs/>
                      <w:szCs w:val="21"/>
                    </w:rPr>
                    <w:t>进行验收。</w:t>
                  </w:r>
                  <w:r w:rsidR="009F522E" w:rsidRPr="009F522E">
                    <w:rPr>
                      <w:rFonts w:hint="eastAsia"/>
                      <w:bCs/>
                      <w:szCs w:val="21"/>
                    </w:rPr>
                    <w:t>（微软系统除外）</w:t>
                  </w:r>
                </w:p>
              </w:tc>
            </w:tr>
            <w:tr w:rsidR="00105953" w:rsidTr="00311679">
              <w:trPr>
                <w:trHeight w:val="683"/>
              </w:trPr>
              <w:tc>
                <w:tcPr>
                  <w:tcW w:w="1103" w:type="dxa"/>
                  <w:vAlign w:val="center"/>
                </w:tcPr>
                <w:p w:rsidR="00105953" w:rsidRDefault="00105953" w:rsidP="004B528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</w:t>
                  </w:r>
                </w:p>
              </w:tc>
              <w:tc>
                <w:tcPr>
                  <w:tcW w:w="1527" w:type="dxa"/>
                  <w:vAlign w:val="center"/>
                </w:tcPr>
                <w:p w:rsidR="00105953" w:rsidRDefault="00105953" w:rsidP="004B528D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关于付款</w:t>
                  </w:r>
                </w:p>
              </w:tc>
              <w:tc>
                <w:tcPr>
                  <w:tcW w:w="6619" w:type="dxa"/>
                </w:tcPr>
                <w:p w:rsidR="00105953" w:rsidRDefault="00C177F0" w:rsidP="00311679">
                  <w:pPr>
                    <w:spacing w:line="340" w:lineRule="exact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无</w:t>
                  </w:r>
                </w:p>
              </w:tc>
            </w:tr>
          </w:tbl>
          <w:p w:rsidR="001F3AF3" w:rsidRDefault="001F3AF3">
            <w:pPr>
              <w:rPr>
                <w:b/>
              </w:rPr>
            </w:pPr>
          </w:p>
        </w:tc>
      </w:tr>
    </w:tbl>
    <w:p w:rsidR="001F3AF3" w:rsidRDefault="001F3AF3"/>
    <w:sectPr w:rsidR="001F3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E4BF1"/>
    <w:multiLevelType w:val="multilevel"/>
    <w:tmpl w:val="5CFE4BF1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WJkNDU4MWUwMjQ3NmNhNmYyNDkxMGQ4NmM5NDYifQ=="/>
  </w:docVars>
  <w:rsids>
    <w:rsidRoot w:val="005D5AE9"/>
    <w:rsid w:val="00022396"/>
    <w:rsid w:val="00024218"/>
    <w:rsid w:val="00024A31"/>
    <w:rsid w:val="00027F1A"/>
    <w:rsid w:val="00031647"/>
    <w:rsid w:val="00040D64"/>
    <w:rsid w:val="00046274"/>
    <w:rsid w:val="000473FF"/>
    <w:rsid w:val="00050BF6"/>
    <w:rsid w:val="00054244"/>
    <w:rsid w:val="00055166"/>
    <w:rsid w:val="00060D4F"/>
    <w:rsid w:val="00061B01"/>
    <w:rsid w:val="00063B47"/>
    <w:rsid w:val="00071518"/>
    <w:rsid w:val="0007169B"/>
    <w:rsid w:val="00081625"/>
    <w:rsid w:val="00081DCA"/>
    <w:rsid w:val="00096B4C"/>
    <w:rsid w:val="00097F39"/>
    <w:rsid w:val="000A334F"/>
    <w:rsid w:val="000B5C11"/>
    <w:rsid w:val="000C3C06"/>
    <w:rsid w:val="000C5BD2"/>
    <w:rsid w:val="000D0B15"/>
    <w:rsid w:val="000D5954"/>
    <w:rsid w:val="000E24AF"/>
    <w:rsid w:val="000F1131"/>
    <w:rsid w:val="000F2912"/>
    <w:rsid w:val="000F6DE9"/>
    <w:rsid w:val="001032B7"/>
    <w:rsid w:val="00105953"/>
    <w:rsid w:val="001076B3"/>
    <w:rsid w:val="00111F90"/>
    <w:rsid w:val="00115973"/>
    <w:rsid w:val="00117EDD"/>
    <w:rsid w:val="0012341B"/>
    <w:rsid w:val="001274FF"/>
    <w:rsid w:val="0014688C"/>
    <w:rsid w:val="0014794C"/>
    <w:rsid w:val="00156F23"/>
    <w:rsid w:val="00162B46"/>
    <w:rsid w:val="00163E04"/>
    <w:rsid w:val="00171162"/>
    <w:rsid w:val="00172375"/>
    <w:rsid w:val="0017382F"/>
    <w:rsid w:val="001764E5"/>
    <w:rsid w:val="00180694"/>
    <w:rsid w:val="001818F0"/>
    <w:rsid w:val="0018247A"/>
    <w:rsid w:val="001826E7"/>
    <w:rsid w:val="0018380B"/>
    <w:rsid w:val="00183919"/>
    <w:rsid w:val="00185417"/>
    <w:rsid w:val="0018666A"/>
    <w:rsid w:val="00191CF3"/>
    <w:rsid w:val="00191F77"/>
    <w:rsid w:val="001946FC"/>
    <w:rsid w:val="001967B4"/>
    <w:rsid w:val="001970B0"/>
    <w:rsid w:val="001A049C"/>
    <w:rsid w:val="001A573A"/>
    <w:rsid w:val="001A76BD"/>
    <w:rsid w:val="001C2CF8"/>
    <w:rsid w:val="001D6309"/>
    <w:rsid w:val="001E01F8"/>
    <w:rsid w:val="001E6A63"/>
    <w:rsid w:val="001F3AF3"/>
    <w:rsid w:val="00206B02"/>
    <w:rsid w:val="00216917"/>
    <w:rsid w:val="00217838"/>
    <w:rsid w:val="00224883"/>
    <w:rsid w:val="00230FBA"/>
    <w:rsid w:val="00232D8F"/>
    <w:rsid w:val="00236386"/>
    <w:rsid w:val="00237E82"/>
    <w:rsid w:val="00247316"/>
    <w:rsid w:val="00250B17"/>
    <w:rsid w:val="00254BAE"/>
    <w:rsid w:val="00256A8A"/>
    <w:rsid w:val="002639FF"/>
    <w:rsid w:val="0026645E"/>
    <w:rsid w:val="00266845"/>
    <w:rsid w:val="00277842"/>
    <w:rsid w:val="00277BB1"/>
    <w:rsid w:val="00277F64"/>
    <w:rsid w:val="00284D25"/>
    <w:rsid w:val="002876E2"/>
    <w:rsid w:val="002902D8"/>
    <w:rsid w:val="0029041D"/>
    <w:rsid w:val="00290E3F"/>
    <w:rsid w:val="002918F2"/>
    <w:rsid w:val="00291FD5"/>
    <w:rsid w:val="00292CBA"/>
    <w:rsid w:val="00296C3F"/>
    <w:rsid w:val="002A0E6D"/>
    <w:rsid w:val="002A3183"/>
    <w:rsid w:val="002A5544"/>
    <w:rsid w:val="002A63BB"/>
    <w:rsid w:val="002A74D8"/>
    <w:rsid w:val="002B5648"/>
    <w:rsid w:val="002B5ECA"/>
    <w:rsid w:val="002B6E40"/>
    <w:rsid w:val="002C20AE"/>
    <w:rsid w:val="002C335B"/>
    <w:rsid w:val="002D1C4F"/>
    <w:rsid w:val="002E4321"/>
    <w:rsid w:val="002F076D"/>
    <w:rsid w:val="002F299C"/>
    <w:rsid w:val="002F4520"/>
    <w:rsid w:val="002F5244"/>
    <w:rsid w:val="002F6D1D"/>
    <w:rsid w:val="003019B0"/>
    <w:rsid w:val="00303128"/>
    <w:rsid w:val="0030385D"/>
    <w:rsid w:val="003056E4"/>
    <w:rsid w:val="003060A3"/>
    <w:rsid w:val="00311679"/>
    <w:rsid w:val="00313CFB"/>
    <w:rsid w:val="0031483D"/>
    <w:rsid w:val="0031732A"/>
    <w:rsid w:val="0032096F"/>
    <w:rsid w:val="00320A7E"/>
    <w:rsid w:val="003223D3"/>
    <w:rsid w:val="0033377A"/>
    <w:rsid w:val="00336590"/>
    <w:rsid w:val="003441F6"/>
    <w:rsid w:val="003501CB"/>
    <w:rsid w:val="0035076A"/>
    <w:rsid w:val="00354640"/>
    <w:rsid w:val="00361CC6"/>
    <w:rsid w:val="0036201A"/>
    <w:rsid w:val="00363931"/>
    <w:rsid w:val="00370DF4"/>
    <w:rsid w:val="0037313E"/>
    <w:rsid w:val="00373879"/>
    <w:rsid w:val="0037494A"/>
    <w:rsid w:val="0037521A"/>
    <w:rsid w:val="003766BB"/>
    <w:rsid w:val="00383A9D"/>
    <w:rsid w:val="00387BA2"/>
    <w:rsid w:val="00390626"/>
    <w:rsid w:val="00394830"/>
    <w:rsid w:val="00396B54"/>
    <w:rsid w:val="003A0C79"/>
    <w:rsid w:val="003A38A0"/>
    <w:rsid w:val="003A4570"/>
    <w:rsid w:val="003A46FA"/>
    <w:rsid w:val="003A5378"/>
    <w:rsid w:val="003A602F"/>
    <w:rsid w:val="003A62FA"/>
    <w:rsid w:val="003B338F"/>
    <w:rsid w:val="003B6607"/>
    <w:rsid w:val="003C6A29"/>
    <w:rsid w:val="003D2D47"/>
    <w:rsid w:val="003D3DA4"/>
    <w:rsid w:val="003D4336"/>
    <w:rsid w:val="003D4974"/>
    <w:rsid w:val="003E1A99"/>
    <w:rsid w:val="003E462A"/>
    <w:rsid w:val="003F371C"/>
    <w:rsid w:val="00407D1B"/>
    <w:rsid w:val="00417349"/>
    <w:rsid w:val="0042451B"/>
    <w:rsid w:val="00425F2F"/>
    <w:rsid w:val="0043050C"/>
    <w:rsid w:val="00433BE2"/>
    <w:rsid w:val="00435F5A"/>
    <w:rsid w:val="004366A0"/>
    <w:rsid w:val="00441374"/>
    <w:rsid w:val="00444170"/>
    <w:rsid w:val="00444696"/>
    <w:rsid w:val="0044519D"/>
    <w:rsid w:val="00445E3F"/>
    <w:rsid w:val="0045505A"/>
    <w:rsid w:val="00460633"/>
    <w:rsid w:val="00460960"/>
    <w:rsid w:val="00461517"/>
    <w:rsid w:val="004628E1"/>
    <w:rsid w:val="00462C27"/>
    <w:rsid w:val="00465C8F"/>
    <w:rsid w:val="00465D14"/>
    <w:rsid w:val="00471A3B"/>
    <w:rsid w:val="00476019"/>
    <w:rsid w:val="0047631A"/>
    <w:rsid w:val="00481837"/>
    <w:rsid w:val="00486FBA"/>
    <w:rsid w:val="00486FCA"/>
    <w:rsid w:val="004935AF"/>
    <w:rsid w:val="004958A6"/>
    <w:rsid w:val="004C0736"/>
    <w:rsid w:val="004C2143"/>
    <w:rsid w:val="004C218C"/>
    <w:rsid w:val="004C2EEF"/>
    <w:rsid w:val="004C3F84"/>
    <w:rsid w:val="004C5CAF"/>
    <w:rsid w:val="004C61C9"/>
    <w:rsid w:val="004D3AE3"/>
    <w:rsid w:val="004E6ED7"/>
    <w:rsid w:val="004E7C1A"/>
    <w:rsid w:val="004F7DD5"/>
    <w:rsid w:val="00504E2D"/>
    <w:rsid w:val="005064E2"/>
    <w:rsid w:val="00507A3D"/>
    <w:rsid w:val="0051104B"/>
    <w:rsid w:val="005177C8"/>
    <w:rsid w:val="00521192"/>
    <w:rsid w:val="00525F04"/>
    <w:rsid w:val="00545A25"/>
    <w:rsid w:val="005515CF"/>
    <w:rsid w:val="0055545A"/>
    <w:rsid w:val="005574A4"/>
    <w:rsid w:val="0056006D"/>
    <w:rsid w:val="00560AEC"/>
    <w:rsid w:val="00561185"/>
    <w:rsid w:val="0056286D"/>
    <w:rsid w:val="005679AE"/>
    <w:rsid w:val="005722CC"/>
    <w:rsid w:val="0057501A"/>
    <w:rsid w:val="00577C38"/>
    <w:rsid w:val="005867C7"/>
    <w:rsid w:val="005911AF"/>
    <w:rsid w:val="0059288C"/>
    <w:rsid w:val="005A4CB8"/>
    <w:rsid w:val="005A5604"/>
    <w:rsid w:val="005A6E97"/>
    <w:rsid w:val="005B087E"/>
    <w:rsid w:val="005B5ABC"/>
    <w:rsid w:val="005C580F"/>
    <w:rsid w:val="005C6994"/>
    <w:rsid w:val="005D55FC"/>
    <w:rsid w:val="005D5AE9"/>
    <w:rsid w:val="005E0213"/>
    <w:rsid w:val="005E06EF"/>
    <w:rsid w:val="005E1B85"/>
    <w:rsid w:val="005F1640"/>
    <w:rsid w:val="005F1D5A"/>
    <w:rsid w:val="005F4E94"/>
    <w:rsid w:val="0060335D"/>
    <w:rsid w:val="00606F36"/>
    <w:rsid w:val="00616B14"/>
    <w:rsid w:val="00617824"/>
    <w:rsid w:val="006204AC"/>
    <w:rsid w:val="00620D32"/>
    <w:rsid w:val="006242FD"/>
    <w:rsid w:val="0063199C"/>
    <w:rsid w:val="006327BB"/>
    <w:rsid w:val="00632E3F"/>
    <w:rsid w:val="00633C9D"/>
    <w:rsid w:val="00637CB0"/>
    <w:rsid w:val="00646CC9"/>
    <w:rsid w:val="0065141C"/>
    <w:rsid w:val="006616C6"/>
    <w:rsid w:val="00663C02"/>
    <w:rsid w:val="006646E8"/>
    <w:rsid w:val="00665B79"/>
    <w:rsid w:val="00670AF6"/>
    <w:rsid w:val="00671450"/>
    <w:rsid w:val="00675288"/>
    <w:rsid w:val="00677199"/>
    <w:rsid w:val="00680B11"/>
    <w:rsid w:val="00684663"/>
    <w:rsid w:val="00685465"/>
    <w:rsid w:val="006A03C8"/>
    <w:rsid w:val="006A0543"/>
    <w:rsid w:val="006A4B52"/>
    <w:rsid w:val="006C0C6A"/>
    <w:rsid w:val="006C14A7"/>
    <w:rsid w:val="006C58B4"/>
    <w:rsid w:val="006C77CB"/>
    <w:rsid w:val="006C7FEA"/>
    <w:rsid w:val="006E0F29"/>
    <w:rsid w:val="006E3BDF"/>
    <w:rsid w:val="006E518A"/>
    <w:rsid w:val="006E55AC"/>
    <w:rsid w:val="006E6ABD"/>
    <w:rsid w:val="006E6CDC"/>
    <w:rsid w:val="006F23A4"/>
    <w:rsid w:val="007050D0"/>
    <w:rsid w:val="00712B14"/>
    <w:rsid w:val="00722799"/>
    <w:rsid w:val="007278DD"/>
    <w:rsid w:val="007326BE"/>
    <w:rsid w:val="00732EDF"/>
    <w:rsid w:val="0073410B"/>
    <w:rsid w:val="007354E0"/>
    <w:rsid w:val="00737114"/>
    <w:rsid w:val="0074076C"/>
    <w:rsid w:val="00740B8E"/>
    <w:rsid w:val="00743B8A"/>
    <w:rsid w:val="00745BFD"/>
    <w:rsid w:val="0075797B"/>
    <w:rsid w:val="00760E5F"/>
    <w:rsid w:val="00761371"/>
    <w:rsid w:val="00762613"/>
    <w:rsid w:val="0076541D"/>
    <w:rsid w:val="00766676"/>
    <w:rsid w:val="00773172"/>
    <w:rsid w:val="00780C96"/>
    <w:rsid w:val="007854FC"/>
    <w:rsid w:val="00790729"/>
    <w:rsid w:val="00790B04"/>
    <w:rsid w:val="0079446A"/>
    <w:rsid w:val="00795AF1"/>
    <w:rsid w:val="00797F6C"/>
    <w:rsid w:val="007A1717"/>
    <w:rsid w:val="007A17A1"/>
    <w:rsid w:val="007A38BC"/>
    <w:rsid w:val="007B18D9"/>
    <w:rsid w:val="007B3EBF"/>
    <w:rsid w:val="007B655D"/>
    <w:rsid w:val="007C748B"/>
    <w:rsid w:val="007D2483"/>
    <w:rsid w:val="007E505C"/>
    <w:rsid w:val="007E73DC"/>
    <w:rsid w:val="007F3201"/>
    <w:rsid w:val="007F36F5"/>
    <w:rsid w:val="007F58FF"/>
    <w:rsid w:val="007F6DEF"/>
    <w:rsid w:val="00812101"/>
    <w:rsid w:val="00817ACA"/>
    <w:rsid w:val="00820239"/>
    <w:rsid w:val="00820C7D"/>
    <w:rsid w:val="00824F62"/>
    <w:rsid w:val="00830D24"/>
    <w:rsid w:val="00830F85"/>
    <w:rsid w:val="00832777"/>
    <w:rsid w:val="008362A1"/>
    <w:rsid w:val="008363D7"/>
    <w:rsid w:val="0084110D"/>
    <w:rsid w:val="00850101"/>
    <w:rsid w:val="008606E1"/>
    <w:rsid w:val="008731A3"/>
    <w:rsid w:val="00873611"/>
    <w:rsid w:val="00873AA2"/>
    <w:rsid w:val="008759C8"/>
    <w:rsid w:val="00884F60"/>
    <w:rsid w:val="00892860"/>
    <w:rsid w:val="008A069D"/>
    <w:rsid w:val="008A3BC8"/>
    <w:rsid w:val="008A61A8"/>
    <w:rsid w:val="008B4DDB"/>
    <w:rsid w:val="008B6A8F"/>
    <w:rsid w:val="008C0124"/>
    <w:rsid w:val="008C6EAD"/>
    <w:rsid w:val="008C7E62"/>
    <w:rsid w:val="008D1C5C"/>
    <w:rsid w:val="008E1C32"/>
    <w:rsid w:val="008E2EEC"/>
    <w:rsid w:val="008E4C4C"/>
    <w:rsid w:val="008E741A"/>
    <w:rsid w:val="008F777E"/>
    <w:rsid w:val="008F7FF8"/>
    <w:rsid w:val="009035E5"/>
    <w:rsid w:val="00907E46"/>
    <w:rsid w:val="00912805"/>
    <w:rsid w:val="0092098D"/>
    <w:rsid w:val="009226CA"/>
    <w:rsid w:val="00933D10"/>
    <w:rsid w:val="00935847"/>
    <w:rsid w:val="00941A80"/>
    <w:rsid w:val="00943BFC"/>
    <w:rsid w:val="00944649"/>
    <w:rsid w:val="00952270"/>
    <w:rsid w:val="009605C9"/>
    <w:rsid w:val="00961439"/>
    <w:rsid w:val="0096386E"/>
    <w:rsid w:val="00966872"/>
    <w:rsid w:val="009675F0"/>
    <w:rsid w:val="009706B3"/>
    <w:rsid w:val="00972522"/>
    <w:rsid w:val="00977641"/>
    <w:rsid w:val="00980C35"/>
    <w:rsid w:val="00981FBB"/>
    <w:rsid w:val="00987678"/>
    <w:rsid w:val="009A5EC6"/>
    <w:rsid w:val="009B2A5B"/>
    <w:rsid w:val="009C16DD"/>
    <w:rsid w:val="009C4547"/>
    <w:rsid w:val="009C774F"/>
    <w:rsid w:val="009C7B9C"/>
    <w:rsid w:val="009D0A2D"/>
    <w:rsid w:val="009D0B35"/>
    <w:rsid w:val="009D0C96"/>
    <w:rsid w:val="009D18FB"/>
    <w:rsid w:val="009D5B75"/>
    <w:rsid w:val="009D7684"/>
    <w:rsid w:val="009E09E3"/>
    <w:rsid w:val="009E4AC8"/>
    <w:rsid w:val="009E4CA7"/>
    <w:rsid w:val="009E69E3"/>
    <w:rsid w:val="009F3619"/>
    <w:rsid w:val="009F522E"/>
    <w:rsid w:val="00A104F7"/>
    <w:rsid w:val="00A113D8"/>
    <w:rsid w:val="00A1655C"/>
    <w:rsid w:val="00A17277"/>
    <w:rsid w:val="00A24989"/>
    <w:rsid w:val="00A46118"/>
    <w:rsid w:val="00A50E60"/>
    <w:rsid w:val="00A554FE"/>
    <w:rsid w:val="00A616DE"/>
    <w:rsid w:val="00A62067"/>
    <w:rsid w:val="00A63E04"/>
    <w:rsid w:val="00A66B9D"/>
    <w:rsid w:val="00A67F19"/>
    <w:rsid w:val="00A70D93"/>
    <w:rsid w:val="00A71329"/>
    <w:rsid w:val="00A77C20"/>
    <w:rsid w:val="00A80A36"/>
    <w:rsid w:val="00A81187"/>
    <w:rsid w:val="00A87D11"/>
    <w:rsid w:val="00A96E22"/>
    <w:rsid w:val="00AA235A"/>
    <w:rsid w:val="00AA614D"/>
    <w:rsid w:val="00AC1882"/>
    <w:rsid w:val="00AD0546"/>
    <w:rsid w:val="00AD1265"/>
    <w:rsid w:val="00AD71AB"/>
    <w:rsid w:val="00AE0C6A"/>
    <w:rsid w:val="00AE7B08"/>
    <w:rsid w:val="00AF3FB0"/>
    <w:rsid w:val="00AF5C6E"/>
    <w:rsid w:val="00B050F8"/>
    <w:rsid w:val="00B06840"/>
    <w:rsid w:val="00B0795A"/>
    <w:rsid w:val="00B079A8"/>
    <w:rsid w:val="00B13A41"/>
    <w:rsid w:val="00B163BE"/>
    <w:rsid w:val="00B21EEA"/>
    <w:rsid w:val="00B2383E"/>
    <w:rsid w:val="00B2548C"/>
    <w:rsid w:val="00B32964"/>
    <w:rsid w:val="00B33D4F"/>
    <w:rsid w:val="00B34649"/>
    <w:rsid w:val="00B42095"/>
    <w:rsid w:val="00B4247F"/>
    <w:rsid w:val="00B43C0F"/>
    <w:rsid w:val="00B5571D"/>
    <w:rsid w:val="00B565A0"/>
    <w:rsid w:val="00B619E8"/>
    <w:rsid w:val="00B63750"/>
    <w:rsid w:val="00B70755"/>
    <w:rsid w:val="00B73E1D"/>
    <w:rsid w:val="00B8096B"/>
    <w:rsid w:val="00B866A3"/>
    <w:rsid w:val="00B91DCF"/>
    <w:rsid w:val="00B964BF"/>
    <w:rsid w:val="00BA0E67"/>
    <w:rsid w:val="00BB53CF"/>
    <w:rsid w:val="00BD0FDF"/>
    <w:rsid w:val="00BD1D19"/>
    <w:rsid w:val="00BD3254"/>
    <w:rsid w:val="00BD4CD7"/>
    <w:rsid w:val="00BE1C20"/>
    <w:rsid w:val="00BE4D7A"/>
    <w:rsid w:val="00BE5E02"/>
    <w:rsid w:val="00BE79F2"/>
    <w:rsid w:val="00BF0DBE"/>
    <w:rsid w:val="00BF16B8"/>
    <w:rsid w:val="00C00D48"/>
    <w:rsid w:val="00C03F66"/>
    <w:rsid w:val="00C1049A"/>
    <w:rsid w:val="00C12AB8"/>
    <w:rsid w:val="00C14A12"/>
    <w:rsid w:val="00C151E4"/>
    <w:rsid w:val="00C15302"/>
    <w:rsid w:val="00C16EBC"/>
    <w:rsid w:val="00C177F0"/>
    <w:rsid w:val="00C20B5D"/>
    <w:rsid w:val="00C34E37"/>
    <w:rsid w:val="00C37F7A"/>
    <w:rsid w:val="00C41CC3"/>
    <w:rsid w:val="00C445B3"/>
    <w:rsid w:val="00C46212"/>
    <w:rsid w:val="00C50F10"/>
    <w:rsid w:val="00C532CF"/>
    <w:rsid w:val="00C5371C"/>
    <w:rsid w:val="00C54BBD"/>
    <w:rsid w:val="00C61FE9"/>
    <w:rsid w:val="00C70B34"/>
    <w:rsid w:val="00C710EE"/>
    <w:rsid w:val="00C80A1A"/>
    <w:rsid w:val="00C81719"/>
    <w:rsid w:val="00C969A0"/>
    <w:rsid w:val="00C96B9E"/>
    <w:rsid w:val="00C97C25"/>
    <w:rsid w:val="00CA0478"/>
    <w:rsid w:val="00CA23DA"/>
    <w:rsid w:val="00CA2806"/>
    <w:rsid w:val="00CA3B65"/>
    <w:rsid w:val="00CA470A"/>
    <w:rsid w:val="00CB0349"/>
    <w:rsid w:val="00CB3275"/>
    <w:rsid w:val="00CB4412"/>
    <w:rsid w:val="00CC205B"/>
    <w:rsid w:val="00CD0D02"/>
    <w:rsid w:val="00CD7D3F"/>
    <w:rsid w:val="00CE0B92"/>
    <w:rsid w:val="00CE274A"/>
    <w:rsid w:val="00CE3AD8"/>
    <w:rsid w:val="00CF3172"/>
    <w:rsid w:val="00D0414D"/>
    <w:rsid w:val="00D052E6"/>
    <w:rsid w:val="00D06779"/>
    <w:rsid w:val="00D10DB4"/>
    <w:rsid w:val="00D11F48"/>
    <w:rsid w:val="00D207BF"/>
    <w:rsid w:val="00D2260B"/>
    <w:rsid w:val="00D25119"/>
    <w:rsid w:val="00D25285"/>
    <w:rsid w:val="00D402BD"/>
    <w:rsid w:val="00D420C6"/>
    <w:rsid w:val="00D43055"/>
    <w:rsid w:val="00D43B07"/>
    <w:rsid w:val="00D472F6"/>
    <w:rsid w:val="00D63006"/>
    <w:rsid w:val="00D64305"/>
    <w:rsid w:val="00D67FCC"/>
    <w:rsid w:val="00D70555"/>
    <w:rsid w:val="00D70A3E"/>
    <w:rsid w:val="00D727A5"/>
    <w:rsid w:val="00D748A8"/>
    <w:rsid w:val="00D7672B"/>
    <w:rsid w:val="00D82A5B"/>
    <w:rsid w:val="00D873C7"/>
    <w:rsid w:val="00DA58C2"/>
    <w:rsid w:val="00DA5D58"/>
    <w:rsid w:val="00DA6F9A"/>
    <w:rsid w:val="00DB0D85"/>
    <w:rsid w:val="00DB6026"/>
    <w:rsid w:val="00DC046C"/>
    <w:rsid w:val="00DC509A"/>
    <w:rsid w:val="00DC5B49"/>
    <w:rsid w:val="00DC6D09"/>
    <w:rsid w:val="00DC7026"/>
    <w:rsid w:val="00DD1154"/>
    <w:rsid w:val="00DE113C"/>
    <w:rsid w:val="00DE4EB2"/>
    <w:rsid w:val="00DE5BD2"/>
    <w:rsid w:val="00DF01CB"/>
    <w:rsid w:val="00DF7812"/>
    <w:rsid w:val="00DF7AE9"/>
    <w:rsid w:val="00E22B5A"/>
    <w:rsid w:val="00E274A3"/>
    <w:rsid w:val="00E307DD"/>
    <w:rsid w:val="00E316FE"/>
    <w:rsid w:val="00E31C89"/>
    <w:rsid w:val="00E341E0"/>
    <w:rsid w:val="00E42300"/>
    <w:rsid w:val="00E42FBE"/>
    <w:rsid w:val="00E46DE1"/>
    <w:rsid w:val="00E47073"/>
    <w:rsid w:val="00E47595"/>
    <w:rsid w:val="00E56DF7"/>
    <w:rsid w:val="00E65E76"/>
    <w:rsid w:val="00E7331A"/>
    <w:rsid w:val="00E764D2"/>
    <w:rsid w:val="00E827B7"/>
    <w:rsid w:val="00E845DD"/>
    <w:rsid w:val="00E84984"/>
    <w:rsid w:val="00E97522"/>
    <w:rsid w:val="00E97734"/>
    <w:rsid w:val="00EA41DF"/>
    <w:rsid w:val="00EC13A3"/>
    <w:rsid w:val="00EC2701"/>
    <w:rsid w:val="00EC5C36"/>
    <w:rsid w:val="00ED493E"/>
    <w:rsid w:val="00EE2813"/>
    <w:rsid w:val="00EE53E6"/>
    <w:rsid w:val="00EF09D6"/>
    <w:rsid w:val="00EF20EA"/>
    <w:rsid w:val="00EF5CA3"/>
    <w:rsid w:val="00EF7C84"/>
    <w:rsid w:val="00F01152"/>
    <w:rsid w:val="00F017E1"/>
    <w:rsid w:val="00F1215F"/>
    <w:rsid w:val="00F14A5B"/>
    <w:rsid w:val="00F20202"/>
    <w:rsid w:val="00F210AF"/>
    <w:rsid w:val="00F21E75"/>
    <w:rsid w:val="00F22B26"/>
    <w:rsid w:val="00F23D2E"/>
    <w:rsid w:val="00F23F3F"/>
    <w:rsid w:val="00F248F7"/>
    <w:rsid w:val="00F32E87"/>
    <w:rsid w:val="00F35045"/>
    <w:rsid w:val="00F42963"/>
    <w:rsid w:val="00F47B70"/>
    <w:rsid w:val="00F5161D"/>
    <w:rsid w:val="00F60590"/>
    <w:rsid w:val="00F60C6C"/>
    <w:rsid w:val="00F63300"/>
    <w:rsid w:val="00F77649"/>
    <w:rsid w:val="00F8778B"/>
    <w:rsid w:val="00F93DEB"/>
    <w:rsid w:val="00FA05AC"/>
    <w:rsid w:val="00FA5211"/>
    <w:rsid w:val="00FA558B"/>
    <w:rsid w:val="00FB37E1"/>
    <w:rsid w:val="00FB7EE6"/>
    <w:rsid w:val="00FC2253"/>
    <w:rsid w:val="00FC5857"/>
    <w:rsid w:val="00FC63FB"/>
    <w:rsid w:val="00FC66E6"/>
    <w:rsid w:val="00FD3556"/>
    <w:rsid w:val="00FE02AA"/>
    <w:rsid w:val="00FF054B"/>
    <w:rsid w:val="00FF3EFF"/>
    <w:rsid w:val="00FF3F47"/>
    <w:rsid w:val="00FF53FC"/>
    <w:rsid w:val="00FF55B5"/>
    <w:rsid w:val="00FF6C23"/>
    <w:rsid w:val="00FF792B"/>
    <w:rsid w:val="01390BCC"/>
    <w:rsid w:val="0140055C"/>
    <w:rsid w:val="01FA3D45"/>
    <w:rsid w:val="06112117"/>
    <w:rsid w:val="080C528C"/>
    <w:rsid w:val="090715AF"/>
    <w:rsid w:val="0AC97464"/>
    <w:rsid w:val="0B472137"/>
    <w:rsid w:val="0BDF05C2"/>
    <w:rsid w:val="0CC51EAD"/>
    <w:rsid w:val="0D2C5A88"/>
    <w:rsid w:val="0EA578A0"/>
    <w:rsid w:val="0F000F7B"/>
    <w:rsid w:val="0F3F1AA3"/>
    <w:rsid w:val="0FC71A98"/>
    <w:rsid w:val="11523FD6"/>
    <w:rsid w:val="117143B2"/>
    <w:rsid w:val="12437AFC"/>
    <w:rsid w:val="12A10CC7"/>
    <w:rsid w:val="14447B5C"/>
    <w:rsid w:val="147F2942"/>
    <w:rsid w:val="152E2381"/>
    <w:rsid w:val="15471B21"/>
    <w:rsid w:val="166149F5"/>
    <w:rsid w:val="18695DE3"/>
    <w:rsid w:val="188822F6"/>
    <w:rsid w:val="19AF3CC9"/>
    <w:rsid w:val="1DB01DBE"/>
    <w:rsid w:val="1DF148B0"/>
    <w:rsid w:val="1E5B7F7C"/>
    <w:rsid w:val="1FF40688"/>
    <w:rsid w:val="202A05FB"/>
    <w:rsid w:val="2076109D"/>
    <w:rsid w:val="21BA145D"/>
    <w:rsid w:val="22486A69"/>
    <w:rsid w:val="2423778D"/>
    <w:rsid w:val="250255F5"/>
    <w:rsid w:val="25757B75"/>
    <w:rsid w:val="26121868"/>
    <w:rsid w:val="265754CC"/>
    <w:rsid w:val="27257379"/>
    <w:rsid w:val="27826579"/>
    <w:rsid w:val="291476A5"/>
    <w:rsid w:val="29491A44"/>
    <w:rsid w:val="29A44ECD"/>
    <w:rsid w:val="2B732DA8"/>
    <w:rsid w:val="2D2F71A3"/>
    <w:rsid w:val="2DD55074"/>
    <w:rsid w:val="2EA712DE"/>
    <w:rsid w:val="2FBC45F2"/>
    <w:rsid w:val="30E81B43"/>
    <w:rsid w:val="34DD74E5"/>
    <w:rsid w:val="360109F6"/>
    <w:rsid w:val="386B4E07"/>
    <w:rsid w:val="399D5494"/>
    <w:rsid w:val="3B7B1805"/>
    <w:rsid w:val="3C862210"/>
    <w:rsid w:val="3D98044D"/>
    <w:rsid w:val="3E5F740F"/>
    <w:rsid w:val="40E165AE"/>
    <w:rsid w:val="42186000"/>
    <w:rsid w:val="42664FBD"/>
    <w:rsid w:val="42ED123B"/>
    <w:rsid w:val="43E048FB"/>
    <w:rsid w:val="441D16AC"/>
    <w:rsid w:val="463B2A6B"/>
    <w:rsid w:val="46DA3884"/>
    <w:rsid w:val="48931F3C"/>
    <w:rsid w:val="48C91E86"/>
    <w:rsid w:val="4A9106FD"/>
    <w:rsid w:val="4B5300A9"/>
    <w:rsid w:val="4BDE4FE9"/>
    <w:rsid w:val="4CA02E7A"/>
    <w:rsid w:val="4D671BE9"/>
    <w:rsid w:val="4E355844"/>
    <w:rsid w:val="53F266B1"/>
    <w:rsid w:val="56484A62"/>
    <w:rsid w:val="56C34335"/>
    <w:rsid w:val="56C90DDF"/>
    <w:rsid w:val="582F0470"/>
    <w:rsid w:val="58A27F7A"/>
    <w:rsid w:val="58D42829"/>
    <w:rsid w:val="59350FDF"/>
    <w:rsid w:val="593E5EF4"/>
    <w:rsid w:val="5A2D029A"/>
    <w:rsid w:val="5AF039BF"/>
    <w:rsid w:val="604007A4"/>
    <w:rsid w:val="60B60A66"/>
    <w:rsid w:val="61251748"/>
    <w:rsid w:val="61442516"/>
    <w:rsid w:val="62854B94"/>
    <w:rsid w:val="63DE512B"/>
    <w:rsid w:val="65442AE4"/>
    <w:rsid w:val="689F0032"/>
    <w:rsid w:val="69D501AF"/>
    <w:rsid w:val="6C8639E2"/>
    <w:rsid w:val="6D7E290C"/>
    <w:rsid w:val="6E9817AB"/>
    <w:rsid w:val="6EDD3662"/>
    <w:rsid w:val="6EFE1F56"/>
    <w:rsid w:val="6F1057E5"/>
    <w:rsid w:val="70425E72"/>
    <w:rsid w:val="716E4A51"/>
    <w:rsid w:val="73D47729"/>
    <w:rsid w:val="750C4CA1"/>
    <w:rsid w:val="75ED6880"/>
    <w:rsid w:val="772269FE"/>
    <w:rsid w:val="7770799C"/>
    <w:rsid w:val="77E65C7D"/>
    <w:rsid w:val="786B7AE3"/>
    <w:rsid w:val="79886E4E"/>
    <w:rsid w:val="7A0B2DDB"/>
    <w:rsid w:val="7A995229"/>
    <w:rsid w:val="7EB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after="120" w:line="240" w:lineRule="auto"/>
      <w:ind w:firstLineChars="100" w:firstLine="420"/>
    </w:pPr>
    <w:rPr>
      <w:sz w:val="21"/>
    </w:rPr>
  </w:style>
  <w:style w:type="paragraph" w:styleId="a4">
    <w:name w:val="Body Text"/>
    <w:basedOn w:val="a"/>
    <w:next w:val="a"/>
    <w:qFormat/>
    <w:pPr>
      <w:spacing w:line="360" w:lineRule="auto"/>
    </w:pPr>
    <w:rPr>
      <w:b/>
      <w:bCs/>
      <w:sz w:val="24"/>
    </w:rPr>
  </w:style>
  <w:style w:type="paragraph" w:styleId="a5">
    <w:name w:val="Balloon Text"/>
    <w:basedOn w:val="a"/>
    <w:link w:val="Char"/>
    <w:uiPriority w:val="99"/>
    <w:semiHidden/>
    <w:unhideWhenUsed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FollowedHyperlink"/>
    <w:basedOn w:val="a1"/>
    <w:uiPriority w:val="99"/>
    <w:semiHidden/>
    <w:unhideWhenUsed/>
    <w:rPr>
      <w:color w:val="800080"/>
      <w:sz w:val="20"/>
      <w:szCs w:val="20"/>
      <w:u w:val="single"/>
    </w:rPr>
  </w:style>
  <w:style w:type="character" w:styleId="ab">
    <w:name w:val="Hyperlink"/>
    <w:basedOn w:val="a1"/>
    <w:uiPriority w:val="99"/>
    <w:semiHidden/>
    <w:unhideWhenUsed/>
    <w:rPr>
      <w:color w:val="0000FF"/>
      <w:sz w:val="20"/>
      <w:szCs w:val="20"/>
      <w:u w:val="single"/>
    </w:rPr>
  </w:style>
  <w:style w:type="paragraph" w:customStyle="1" w:styleId="tableheader">
    <w:name w:val="tableheader"/>
    <w:basedOn w:val="a"/>
    <w:pPr>
      <w:widowControl/>
      <w:shd w:val="clear" w:color="auto" w:fill="ABC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rPr>
      <w:sz w:val="18"/>
      <w:szCs w:val="18"/>
    </w:rPr>
  </w:style>
  <w:style w:type="paragraph" w:customStyle="1" w:styleId="ac">
    <w:name w:val="首行缩进"/>
    <w:basedOn w:val="a"/>
    <w:qFormat/>
    <w:pPr>
      <w:ind w:firstLineChars="200" w:firstLine="480"/>
    </w:pPr>
    <w:rPr>
      <w:rFonts w:ascii="Calibri" w:eastAsia="仿宋" w:hAnsi="Calibri" w:cs="Times New Roman"/>
      <w:sz w:val="28"/>
      <w:lang w:val="zh-CN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5"/>
    <w:uiPriority w:val="99"/>
    <w:semiHidden/>
    <w:rPr>
      <w:rFonts w:ascii="Times New Roman" w:eastAsia="仿宋_GB2312" w:hAnsi="Times New Roman" w:cs="Times New Roman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after="120" w:line="240" w:lineRule="auto"/>
      <w:ind w:firstLineChars="100" w:firstLine="420"/>
    </w:pPr>
    <w:rPr>
      <w:sz w:val="21"/>
    </w:rPr>
  </w:style>
  <w:style w:type="paragraph" w:styleId="a4">
    <w:name w:val="Body Text"/>
    <w:basedOn w:val="a"/>
    <w:next w:val="a"/>
    <w:qFormat/>
    <w:pPr>
      <w:spacing w:line="360" w:lineRule="auto"/>
    </w:pPr>
    <w:rPr>
      <w:b/>
      <w:bCs/>
      <w:sz w:val="24"/>
    </w:rPr>
  </w:style>
  <w:style w:type="paragraph" w:styleId="a5">
    <w:name w:val="Balloon Text"/>
    <w:basedOn w:val="a"/>
    <w:link w:val="Char"/>
    <w:uiPriority w:val="99"/>
    <w:semiHidden/>
    <w:unhideWhenUsed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FollowedHyperlink"/>
    <w:basedOn w:val="a1"/>
    <w:uiPriority w:val="99"/>
    <w:semiHidden/>
    <w:unhideWhenUsed/>
    <w:rPr>
      <w:color w:val="800080"/>
      <w:sz w:val="20"/>
      <w:szCs w:val="20"/>
      <w:u w:val="single"/>
    </w:rPr>
  </w:style>
  <w:style w:type="character" w:styleId="ab">
    <w:name w:val="Hyperlink"/>
    <w:basedOn w:val="a1"/>
    <w:uiPriority w:val="99"/>
    <w:semiHidden/>
    <w:unhideWhenUsed/>
    <w:rPr>
      <w:color w:val="0000FF"/>
      <w:sz w:val="20"/>
      <w:szCs w:val="20"/>
      <w:u w:val="single"/>
    </w:rPr>
  </w:style>
  <w:style w:type="paragraph" w:customStyle="1" w:styleId="tableheader">
    <w:name w:val="tableheader"/>
    <w:basedOn w:val="a"/>
    <w:pPr>
      <w:widowControl/>
      <w:shd w:val="clear" w:color="auto" w:fill="ABCD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rPr>
      <w:sz w:val="18"/>
      <w:szCs w:val="18"/>
    </w:rPr>
  </w:style>
  <w:style w:type="paragraph" w:customStyle="1" w:styleId="ac">
    <w:name w:val="首行缩进"/>
    <w:basedOn w:val="a"/>
    <w:qFormat/>
    <w:pPr>
      <w:ind w:firstLineChars="200" w:firstLine="480"/>
    </w:pPr>
    <w:rPr>
      <w:rFonts w:ascii="Calibri" w:eastAsia="仿宋" w:hAnsi="Calibri" w:cs="Times New Roman"/>
      <w:sz w:val="28"/>
      <w:lang w:val="zh-CN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5"/>
    <w:uiPriority w:val="99"/>
    <w:semiHidden/>
    <w:rPr>
      <w:rFonts w:ascii="Times New Roman" w:eastAsia="仿宋_GB2312" w:hAnsi="Times New Roman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349</Words>
  <Characters>1993</Characters>
  <Application>Microsoft Office Word</Application>
  <DocSecurity>0</DocSecurity>
  <Lines>16</Lines>
  <Paragraphs>4</Paragraphs>
  <ScaleCrop>false</ScaleCrop>
  <Company>DELL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张婷婷</dc:creator>
  <cp:lastModifiedBy>车林彬</cp:lastModifiedBy>
  <cp:revision>43</cp:revision>
  <dcterms:created xsi:type="dcterms:W3CDTF">2023-06-04T09:34:00Z</dcterms:created>
  <dcterms:modified xsi:type="dcterms:W3CDTF">2023-06-07T08:34:00Z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E4D6016ABEA646ECAED2A01BEA49EF04</vt:lpwstr>
  </property>
</Properties>
</file>