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C1" w:rsidRDefault="008322C1" w:rsidP="008322C1">
      <w:pPr>
        <w:spacing w:line="500" w:lineRule="exact"/>
        <w:ind w:leftChars="151" w:left="317"/>
        <w:jc w:val="center"/>
        <w:rPr>
          <w:b/>
          <w:bCs/>
          <w:sz w:val="44"/>
          <w:szCs w:val="44"/>
        </w:rPr>
      </w:pPr>
      <w:r w:rsidRPr="00962655">
        <w:rPr>
          <w:rFonts w:hint="eastAsia"/>
          <w:b/>
          <w:bCs/>
          <w:sz w:val="44"/>
          <w:szCs w:val="44"/>
        </w:rPr>
        <w:t>南方医科大学深圳口腔医院（坪山）</w:t>
      </w:r>
    </w:p>
    <w:p w:rsidR="001B4DD5" w:rsidRDefault="001B4DD5" w:rsidP="008322C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新版移动支付（</w:t>
      </w:r>
      <w:proofErr w:type="gramStart"/>
      <w:r>
        <w:rPr>
          <w:rFonts w:hint="eastAsia"/>
          <w:b/>
          <w:bCs/>
          <w:sz w:val="44"/>
          <w:szCs w:val="44"/>
        </w:rPr>
        <w:t>医</w:t>
      </w:r>
      <w:proofErr w:type="gramEnd"/>
      <w:r>
        <w:rPr>
          <w:rFonts w:hint="eastAsia"/>
          <w:b/>
          <w:bCs/>
          <w:sz w:val="44"/>
          <w:szCs w:val="44"/>
        </w:rPr>
        <w:t>保移动支付中心</w:t>
      </w:r>
    </w:p>
    <w:p w:rsidR="001B4DD5" w:rsidRDefault="001B4DD5" w:rsidP="008322C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技术规范</w:t>
      </w:r>
      <w:r>
        <w:rPr>
          <w:rFonts w:hint="eastAsia"/>
          <w:b/>
          <w:bCs/>
          <w:sz w:val="44"/>
          <w:szCs w:val="44"/>
        </w:rPr>
        <w:t>V2.0</w:t>
      </w:r>
      <w:r>
        <w:rPr>
          <w:rFonts w:hint="eastAsia"/>
          <w:b/>
          <w:bCs/>
          <w:sz w:val="44"/>
          <w:szCs w:val="44"/>
        </w:rPr>
        <w:t>标准）</w:t>
      </w:r>
      <w:r>
        <w:rPr>
          <w:rFonts w:hint="eastAsia"/>
          <w:b/>
          <w:bCs/>
          <w:sz w:val="44"/>
          <w:szCs w:val="44"/>
        </w:rPr>
        <w:t>HIS</w:t>
      </w:r>
      <w:r>
        <w:rPr>
          <w:rFonts w:hint="eastAsia"/>
          <w:b/>
          <w:bCs/>
          <w:sz w:val="44"/>
          <w:szCs w:val="44"/>
        </w:rPr>
        <w:t>系统改造</w:t>
      </w:r>
    </w:p>
    <w:p w:rsidR="00521DD2" w:rsidRDefault="001B4DD5" w:rsidP="008322C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</w:t>
      </w:r>
      <w:r w:rsidR="008322C1" w:rsidRPr="003B1EA7">
        <w:rPr>
          <w:rFonts w:hint="eastAsia"/>
          <w:b/>
          <w:bCs/>
          <w:sz w:val="44"/>
          <w:szCs w:val="44"/>
        </w:rPr>
        <w:t>竞争性谈判</w:t>
      </w:r>
      <w:r w:rsidR="008322C1">
        <w:rPr>
          <w:rFonts w:hint="eastAsia"/>
          <w:b/>
          <w:bCs/>
          <w:sz w:val="44"/>
          <w:szCs w:val="44"/>
        </w:rPr>
        <w:t>第一次报价</w:t>
      </w: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476"/>
        <w:gridCol w:w="5257"/>
        <w:gridCol w:w="788"/>
        <w:gridCol w:w="786"/>
      </w:tblGrid>
      <w:tr w:rsidR="00394821" w:rsidTr="007331C7">
        <w:trPr>
          <w:trHeight w:val="255"/>
          <w:jc w:val="center"/>
        </w:trPr>
        <w:tc>
          <w:tcPr>
            <w:tcW w:w="381" w:type="pct"/>
            <w:shd w:val="clear" w:color="auto" w:fill="auto"/>
            <w:vAlign w:val="center"/>
          </w:tcPr>
          <w:p w:rsidR="00394821" w:rsidRPr="005B764B" w:rsidRDefault="00394821" w:rsidP="001C168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94821" w:rsidRPr="005B764B" w:rsidRDefault="00394821" w:rsidP="001C16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 w:rsidRPr="005B764B">
              <w:rPr>
                <w:rFonts w:hint="eastAsia"/>
                <w:szCs w:val="21"/>
              </w:rPr>
              <w:t>项名称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394821" w:rsidRPr="005B764B" w:rsidRDefault="00394821" w:rsidP="001C16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94821" w:rsidRPr="005B764B" w:rsidRDefault="00394821" w:rsidP="001C168A">
            <w:pPr>
              <w:spacing w:line="400" w:lineRule="exact"/>
              <w:jc w:val="center"/>
              <w:rPr>
                <w:szCs w:val="21"/>
              </w:rPr>
            </w:pPr>
            <w:r w:rsidRPr="005B764B">
              <w:rPr>
                <w:szCs w:val="21"/>
              </w:rPr>
              <w:t>数量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4821" w:rsidRPr="005B764B" w:rsidRDefault="00394821" w:rsidP="001C168A">
            <w:pPr>
              <w:spacing w:line="400" w:lineRule="exact"/>
              <w:jc w:val="center"/>
              <w:rPr>
                <w:szCs w:val="21"/>
              </w:rPr>
            </w:pPr>
            <w:r w:rsidRPr="005B764B">
              <w:rPr>
                <w:szCs w:val="21"/>
              </w:rPr>
              <w:t>单位</w:t>
            </w:r>
          </w:p>
        </w:tc>
      </w:tr>
      <w:tr w:rsidR="00394821" w:rsidTr="007331C7">
        <w:trPr>
          <w:trHeight w:val="255"/>
          <w:jc w:val="center"/>
        </w:trPr>
        <w:tc>
          <w:tcPr>
            <w:tcW w:w="381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Cs w:val="21"/>
              </w:rPr>
            </w:pPr>
            <w:r w:rsidRPr="005A1404">
              <w:rPr>
                <w:rFonts w:ascii="仿宋_GB2312" w:hAnsiTheme="minorEastAsia" w:cs="宋体" w:hint="eastAsia"/>
                <w:b/>
                <w:szCs w:val="21"/>
              </w:rPr>
              <w:t>★</w:t>
            </w:r>
            <w:r>
              <w:rPr>
                <w:rFonts w:hint="eastAsia"/>
                <w:szCs w:val="21"/>
              </w:rPr>
              <w:t>总体需求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394821" w:rsidRPr="00BE19AB" w:rsidRDefault="00394821" w:rsidP="001C168A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 w:rsidRPr="00BE19AB">
              <w:rPr>
                <w:rFonts w:ascii="仿宋_GB2312" w:hAnsiTheme="minorEastAsia" w:cs="宋体" w:hint="eastAsia"/>
                <w:szCs w:val="21"/>
              </w:rPr>
              <w:t>本清单内容是完成本项目建设所需的最低要求，报价方可根据实际情况增加。如存在需完成本项目所必须需求未列入本项目清单，则报价方需在项目建设中无条件提供，采购方</w:t>
            </w:r>
            <w:proofErr w:type="gramStart"/>
            <w:r w:rsidRPr="00BE19AB">
              <w:rPr>
                <w:rFonts w:ascii="仿宋_GB2312" w:hAnsiTheme="minorEastAsia" w:cs="宋体" w:hint="eastAsia"/>
                <w:szCs w:val="21"/>
              </w:rPr>
              <w:t>不</w:t>
            </w:r>
            <w:proofErr w:type="gramEnd"/>
            <w:r w:rsidRPr="00BE19AB">
              <w:rPr>
                <w:rFonts w:ascii="仿宋_GB2312" w:hAnsiTheme="minorEastAsia" w:cs="宋体" w:hint="eastAsia"/>
                <w:szCs w:val="21"/>
              </w:rPr>
              <w:t>额外增加费用。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94821" w:rsidRPr="005B764B" w:rsidRDefault="007331C7" w:rsidP="001C16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4821" w:rsidRPr="005B764B" w:rsidRDefault="007331C7" w:rsidP="001C16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</w:tr>
      <w:tr w:rsidR="00394821" w:rsidTr="007331C7">
        <w:trPr>
          <w:trHeight w:val="746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rPr>
                <w:sz w:val="24"/>
                <w:szCs w:val="32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保预约挂号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394821" w:rsidRDefault="00394821" w:rsidP="001C168A">
            <w:pPr>
              <w:pStyle w:val="a3"/>
              <w:spacing w:line="400" w:lineRule="exact"/>
              <w:ind w:leftChars="-49" w:left="-103" w:firstLineChars="0" w:firstLine="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支持患者在线国标2.0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保挂号、支付挂号费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394821" w:rsidTr="007331C7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rPr>
                <w:sz w:val="24"/>
                <w:szCs w:val="32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保当天挂号</w:t>
            </w:r>
          </w:p>
        </w:tc>
        <w:tc>
          <w:tcPr>
            <w:tcW w:w="2923" w:type="pct"/>
            <w:shd w:val="clear" w:color="auto" w:fill="auto"/>
            <w:vAlign w:val="bottom"/>
          </w:tcPr>
          <w:p w:rsidR="00394821" w:rsidRDefault="00394821" w:rsidP="001C168A">
            <w:pPr>
              <w:pStyle w:val="a3"/>
              <w:autoSpaceDE w:val="0"/>
              <w:autoSpaceDN w:val="0"/>
              <w:adjustRightInd w:val="0"/>
              <w:spacing w:line="400" w:lineRule="exact"/>
              <w:ind w:leftChars="-49" w:left="-103" w:firstLineChars="0" w:firstLine="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国标2.0当天挂号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保支付，与预约挂号流程一致，添加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保授权流程，确认授权后，系统方可使用用户对应凭证信息进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行医保预结算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等流程处理。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394821" w:rsidTr="007331C7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rPr>
                <w:sz w:val="24"/>
                <w:szCs w:val="32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扫码付门诊医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394821" w:rsidRDefault="00394821" w:rsidP="00394821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支持患者扫单据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二维码后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，使用门诊国标2.0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保在线支付检验费用，支持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绑定就诊人调起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  <w:p w:rsidR="00394821" w:rsidRDefault="00394821" w:rsidP="00394821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支持患者扫单据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二维码后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，使用门诊国标2.0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保在线支付检查费用，支持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绑定就诊人调起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  <w:p w:rsidR="00394821" w:rsidRDefault="00394821" w:rsidP="00394821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支持患者扫单据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二维码后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，使用门诊国标2.0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保在线支付药品费用，支持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绑定就诊人调起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  <w:p w:rsidR="00394821" w:rsidRDefault="00394821" w:rsidP="00394821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支持患者扫单据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二维码后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，使用门诊国标2.0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保在线支付治疗费用，支持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绑定就诊人调起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394821" w:rsidTr="007331C7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94821" w:rsidRDefault="00394821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异常订单处理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394821" w:rsidRDefault="00394821" w:rsidP="001C168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异常订单、单边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账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订单费用支持系统自动确认订单状态后根据设定规则进行自动退款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394821" w:rsidTr="007331C7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94821" w:rsidRDefault="00394821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费用退款接口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394821" w:rsidRDefault="00394821" w:rsidP="001C168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支持HIS调用退费接口进行自费退费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394821" w:rsidTr="007331C7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94821" w:rsidRDefault="00394821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对账单下载接口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394821" w:rsidRDefault="00394821" w:rsidP="001C168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支持院内系统调用进行对账单下载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394821" w:rsidTr="007331C7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94821" w:rsidRDefault="00394821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国标2.0规范页面样式改造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394821" w:rsidRDefault="00394821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根据国标2.0对接要求完成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保流程页面样式改造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4821" w:rsidRDefault="00394821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7331C7" w:rsidTr="007331C7">
        <w:trPr>
          <w:trHeight w:val="480"/>
          <w:jc w:val="center"/>
        </w:trPr>
        <w:tc>
          <w:tcPr>
            <w:tcW w:w="1202" w:type="pct"/>
            <w:gridSpan w:val="2"/>
            <w:shd w:val="clear" w:color="auto" w:fill="auto"/>
            <w:noWrap/>
            <w:vAlign w:val="center"/>
          </w:tcPr>
          <w:p w:rsidR="007331C7" w:rsidRDefault="007331C7" w:rsidP="007331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价格（含税）：</w:t>
            </w:r>
          </w:p>
        </w:tc>
        <w:tc>
          <w:tcPr>
            <w:tcW w:w="3798" w:type="pct"/>
            <w:gridSpan w:val="3"/>
            <w:shd w:val="clear" w:color="auto" w:fill="auto"/>
            <w:vAlign w:val="center"/>
          </w:tcPr>
          <w:p w:rsidR="007331C7" w:rsidRDefault="007331C7" w:rsidP="007331C7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大写：</w:t>
            </w:r>
          </w:p>
          <w:p w:rsidR="007331C7" w:rsidRDefault="007331C7" w:rsidP="007331C7">
            <w:pPr>
              <w:spacing w:line="400" w:lineRule="exac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小写：</w:t>
            </w:r>
          </w:p>
        </w:tc>
      </w:tr>
    </w:tbl>
    <w:p w:rsidR="00B9724A" w:rsidRDefault="008322C1" w:rsidP="007567A5">
      <w:pPr>
        <w:spacing w:line="300" w:lineRule="exact"/>
        <w:jc w:val="left"/>
        <w:rPr>
          <w:rFonts w:ascii="仿宋_GB2312" w:hAnsiTheme="minorEastAsia" w:cs="宋体"/>
          <w:b/>
          <w:color w:val="FF0000"/>
          <w:szCs w:val="21"/>
        </w:rPr>
      </w:pPr>
      <w:r w:rsidRPr="005A1404">
        <w:rPr>
          <w:rFonts w:ascii="仿宋_GB2312" w:hAnsiTheme="minorEastAsia" w:cs="宋体" w:hint="eastAsia"/>
          <w:b/>
          <w:color w:val="FF0000"/>
          <w:szCs w:val="21"/>
        </w:rPr>
        <w:t>注意：</w:t>
      </w:r>
      <w:r w:rsidR="00E46521">
        <w:rPr>
          <w:rFonts w:ascii="仿宋_GB2312" w:hAnsiTheme="minorEastAsia" w:cs="宋体" w:hint="eastAsia"/>
          <w:b/>
          <w:color w:val="FF0000"/>
          <w:szCs w:val="21"/>
        </w:rPr>
        <w:t>带“★”的为必须满足项，不满足的报价文件则作废</w:t>
      </w:r>
      <w:r w:rsidRPr="005A1404">
        <w:rPr>
          <w:rFonts w:ascii="仿宋_GB2312" w:hAnsiTheme="minorEastAsia" w:cs="宋体" w:hint="eastAsia"/>
          <w:b/>
          <w:color w:val="FF0000"/>
          <w:szCs w:val="21"/>
        </w:rPr>
        <w:t>。</w:t>
      </w:r>
    </w:p>
    <w:p w:rsidR="00B9724A" w:rsidRDefault="00B9724A" w:rsidP="005A1404">
      <w:pPr>
        <w:spacing w:line="300" w:lineRule="exact"/>
        <w:ind w:firstLineChars="201" w:firstLine="424"/>
        <w:jc w:val="left"/>
        <w:rPr>
          <w:rFonts w:ascii="仿宋_GB2312" w:hAnsiTheme="minorEastAsia" w:cs="宋体" w:hint="eastAsia"/>
          <w:b/>
          <w:color w:val="FF0000"/>
          <w:szCs w:val="21"/>
        </w:rPr>
      </w:pPr>
    </w:p>
    <w:p w:rsidR="007567A5" w:rsidRPr="007567A5" w:rsidRDefault="007567A5" w:rsidP="005A1404">
      <w:pPr>
        <w:spacing w:line="300" w:lineRule="exact"/>
        <w:ind w:firstLineChars="201" w:firstLine="424"/>
        <w:jc w:val="left"/>
        <w:rPr>
          <w:rFonts w:ascii="仿宋_GB2312" w:hAnsiTheme="minorEastAsia" w:cs="宋体"/>
          <w:b/>
          <w:color w:val="FF0000"/>
          <w:szCs w:val="21"/>
        </w:rPr>
      </w:pPr>
    </w:p>
    <w:p w:rsidR="00F02A1E" w:rsidRDefault="00F02A1E" w:rsidP="00F02A1E">
      <w:pPr>
        <w:spacing w:line="500" w:lineRule="exact"/>
        <w:ind w:leftChars="151" w:left="317"/>
        <w:jc w:val="center"/>
        <w:rPr>
          <w:b/>
          <w:bCs/>
          <w:sz w:val="44"/>
          <w:szCs w:val="44"/>
        </w:rPr>
      </w:pPr>
      <w:r w:rsidRPr="00962655">
        <w:rPr>
          <w:rFonts w:hint="eastAsia"/>
          <w:b/>
          <w:bCs/>
          <w:sz w:val="44"/>
          <w:szCs w:val="44"/>
        </w:rPr>
        <w:lastRenderedPageBreak/>
        <w:t>南方医科大学深圳口腔医院（坪山）</w:t>
      </w:r>
    </w:p>
    <w:p w:rsidR="00F02A1E" w:rsidRDefault="00F02A1E" w:rsidP="00F02A1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新版移动支付（</w:t>
      </w:r>
      <w:proofErr w:type="gramStart"/>
      <w:r>
        <w:rPr>
          <w:rFonts w:hint="eastAsia"/>
          <w:b/>
          <w:bCs/>
          <w:sz w:val="44"/>
          <w:szCs w:val="44"/>
        </w:rPr>
        <w:t>医</w:t>
      </w:r>
      <w:proofErr w:type="gramEnd"/>
      <w:r>
        <w:rPr>
          <w:rFonts w:hint="eastAsia"/>
          <w:b/>
          <w:bCs/>
          <w:sz w:val="44"/>
          <w:szCs w:val="44"/>
        </w:rPr>
        <w:t>保移动支付中心</w:t>
      </w:r>
    </w:p>
    <w:p w:rsidR="00F02A1E" w:rsidRDefault="00F02A1E" w:rsidP="00F02A1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技术规范</w:t>
      </w:r>
      <w:r>
        <w:rPr>
          <w:rFonts w:hint="eastAsia"/>
          <w:b/>
          <w:bCs/>
          <w:sz w:val="44"/>
          <w:szCs w:val="44"/>
        </w:rPr>
        <w:t>V2.0</w:t>
      </w:r>
      <w:r>
        <w:rPr>
          <w:rFonts w:hint="eastAsia"/>
          <w:b/>
          <w:bCs/>
          <w:sz w:val="44"/>
          <w:szCs w:val="44"/>
        </w:rPr>
        <w:t>标准）</w:t>
      </w:r>
      <w:r>
        <w:rPr>
          <w:rFonts w:hint="eastAsia"/>
          <w:b/>
          <w:bCs/>
          <w:sz w:val="44"/>
          <w:szCs w:val="44"/>
        </w:rPr>
        <w:t>HIS</w:t>
      </w:r>
      <w:r>
        <w:rPr>
          <w:rFonts w:hint="eastAsia"/>
          <w:b/>
          <w:bCs/>
          <w:sz w:val="44"/>
          <w:szCs w:val="44"/>
        </w:rPr>
        <w:t>系统改造</w:t>
      </w:r>
    </w:p>
    <w:p w:rsidR="00B9724A" w:rsidRDefault="00F02A1E" w:rsidP="00F02A1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</w:t>
      </w:r>
      <w:r w:rsidRPr="003B1EA7">
        <w:rPr>
          <w:rFonts w:hint="eastAsia"/>
          <w:b/>
          <w:bCs/>
          <w:sz w:val="44"/>
          <w:szCs w:val="44"/>
        </w:rPr>
        <w:t>竞争性谈判</w:t>
      </w:r>
      <w:r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次报价</w:t>
      </w: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476"/>
        <w:gridCol w:w="5257"/>
        <w:gridCol w:w="788"/>
        <w:gridCol w:w="786"/>
      </w:tblGrid>
      <w:tr w:rsidR="00CE0F04" w:rsidTr="001C168A">
        <w:trPr>
          <w:trHeight w:val="255"/>
          <w:jc w:val="center"/>
        </w:trPr>
        <w:tc>
          <w:tcPr>
            <w:tcW w:w="381" w:type="pct"/>
            <w:shd w:val="clear" w:color="auto" w:fill="auto"/>
            <w:vAlign w:val="center"/>
          </w:tcPr>
          <w:p w:rsidR="00CE0F04" w:rsidRPr="005B764B" w:rsidRDefault="00CE0F04" w:rsidP="001C168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CE0F04" w:rsidRPr="005B764B" w:rsidRDefault="00CE0F04" w:rsidP="001C16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 w:rsidRPr="005B764B">
              <w:rPr>
                <w:rFonts w:hint="eastAsia"/>
                <w:szCs w:val="21"/>
              </w:rPr>
              <w:t>项名称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CE0F04" w:rsidRPr="005B764B" w:rsidRDefault="00CE0F04" w:rsidP="001C16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E0F04" w:rsidRPr="005B764B" w:rsidRDefault="00CE0F04" w:rsidP="001C168A">
            <w:pPr>
              <w:spacing w:line="400" w:lineRule="exact"/>
              <w:jc w:val="center"/>
              <w:rPr>
                <w:szCs w:val="21"/>
              </w:rPr>
            </w:pPr>
            <w:r w:rsidRPr="005B764B">
              <w:rPr>
                <w:szCs w:val="21"/>
              </w:rPr>
              <w:t>数量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0F04" w:rsidRPr="005B764B" w:rsidRDefault="00CE0F04" w:rsidP="001C168A">
            <w:pPr>
              <w:spacing w:line="400" w:lineRule="exact"/>
              <w:jc w:val="center"/>
              <w:rPr>
                <w:szCs w:val="21"/>
              </w:rPr>
            </w:pPr>
            <w:r w:rsidRPr="005B764B">
              <w:rPr>
                <w:szCs w:val="21"/>
              </w:rPr>
              <w:t>单位</w:t>
            </w:r>
          </w:p>
        </w:tc>
      </w:tr>
      <w:tr w:rsidR="00CE0F04" w:rsidTr="001C168A">
        <w:trPr>
          <w:trHeight w:val="255"/>
          <w:jc w:val="center"/>
        </w:trPr>
        <w:tc>
          <w:tcPr>
            <w:tcW w:w="381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Cs w:val="21"/>
              </w:rPr>
            </w:pPr>
            <w:r w:rsidRPr="005A1404">
              <w:rPr>
                <w:rFonts w:ascii="仿宋_GB2312" w:hAnsiTheme="minorEastAsia" w:cs="宋体" w:hint="eastAsia"/>
                <w:b/>
                <w:szCs w:val="21"/>
              </w:rPr>
              <w:t>★</w:t>
            </w:r>
            <w:r>
              <w:rPr>
                <w:rFonts w:hint="eastAsia"/>
                <w:szCs w:val="21"/>
              </w:rPr>
              <w:t>总体需求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CE0F04" w:rsidRPr="00BE19AB" w:rsidRDefault="00CE0F04" w:rsidP="001C168A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 w:rsidRPr="00BE19AB">
              <w:rPr>
                <w:rFonts w:ascii="仿宋_GB2312" w:hAnsiTheme="minorEastAsia" w:cs="宋体" w:hint="eastAsia"/>
                <w:szCs w:val="21"/>
              </w:rPr>
              <w:t>本清单内容是完成本项目建设所需的最低要求，报价方可根据实际情况增加。如存在需完成本项目所必须需求未列入本项目清单，则报价方需在项目建设中无条件提供，采购方</w:t>
            </w:r>
            <w:proofErr w:type="gramStart"/>
            <w:r w:rsidRPr="00BE19AB">
              <w:rPr>
                <w:rFonts w:ascii="仿宋_GB2312" w:hAnsiTheme="minorEastAsia" w:cs="宋体" w:hint="eastAsia"/>
                <w:szCs w:val="21"/>
              </w:rPr>
              <w:t>不</w:t>
            </w:r>
            <w:proofErr w:type="gramEnd"/>
            <w:r w:rsidRPr="00BE19AB">
              <w:rPr>
                <w:rFonts w:ascii="仿宋_GB2312" w:hAnsiTheme="minorEastAsia" w:cs="宋体" w:hint="eastAsia"/>
                <w:szCs w:val="21"/>
              </w:rPr>
              <w:t>额外增加费用。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E0F04" w:rsidRPr="005B764B" w:rsidRDefault="00CE0F04" w:rsidP="001C16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0F04" w:rsidRPr="005B764B" w:rsidRDefault="00CE0F04" w:rsidP="001C16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</w:tr>
      <w:tr w:rsidR="00CE0F04" w:rsidTr="001C168A">
        <w:trPr>
          <w:trHeight w:val="746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rPr>
                <w:sz w:val="24"/>
                <w:szCs w:val="32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保预约挂号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CE0F04" w:rsidRDefault="00CE0F04" w:rsidP="001C168A">
            <w:pPr>
              <w:pStyle w:val="a3"/>
              <w:spacing w:line="400" w:lineRule="exact"/>
              <w:ind w:leftChars="-49" w:left="-103" w:firstLineChars="0" w:firstLine="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支持患者在线国标2.0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保挂号、支付挂号费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CE0F04" w:rsidTr="001C168A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rPr>
                <w:sz w:val="24"/>
                <w:szCs w:val="32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保当天挂号</w:t>
            </w:r>
          </w:p>
        </w:tc>
        <w:tc>
          <w:tcPr>
            <w:tcW w:w="2923" w:type="pct"/>
            <w:shd w:val="clear" w:color="auto" w:fill="auto"/>
            <w:vAlign w:val="bottom"/>
          </w:tcPr>
          <w:p w:rsidR="00CE0F04" w:rsidRDefault="00CE0F04" w:rsidP="001C168A">
            <w:pPr>
              <w:pStyle w:val="a3"/>
              <w:autoSpaceDE w:val="0"/>
              <w:autoSpaceDN w:val="0"/>
              <w:adjustRightInd w:val="0"/>
              <w:spacing w:line="400" w:lineRule="exact"/>
              <w:ind w:leftChars="-49" w:left="-103" w:firstLineChars="0" w:firstLine="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国标2.0当天挂号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保支付，与预约挂号流程一致，添加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保授权流程，确认授权后，系统方可使用用户对应凭证信息进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行医保预结算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等流程处理。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CE0F04" w:rsidTr="001C168A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rPr>
                <w:sz w:val="24"/>
                <w:szCs w:val="32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扫码付门诊医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支持患者扫单据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二维码后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，使用门诊国标2.0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保在线支付检验费用，支持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绑定就诊人调起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  <w:p w:rsidR="00CE0F04" w:rsidRDefault="00CE0F04" w:rsidP="001C168A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支持患者扫单据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二维码后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，使用门诊国标2.0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保在线支付检查费用，支持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绑定就诊人调起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  <w:p w:rsidR="00CE0F04" w:rsidRDefault="00CE0F04" w:rsidP="001C168A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支持患者扫单据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二维码后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，使用门诊国标2.0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保在线支付药品费用，支持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绑定就诊人调起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  <w:p w:rsidR="00CE0F04" w:rsidRDefault="00CE0F04" w:rsidP="001C168A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支持患者扫单据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二维码后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，使用门诊国标2.0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保在线支付治疗费用，支持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绑定就诊人调起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保支付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CE0F04" w:rsidTr="001C168A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异常订单处理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异常订单、单边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账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订单费用支持系统自动确认订单状态后根据设定规则进行自动退款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CE0F04" w:rsidTr="001C168A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费用退款接口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支持HIS调用退费接口进行自费退费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CE0F04" w:rsidTr="001C168A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对账单下载接口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支持院内系统调用进行对账单下载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CE0F04" w:rsidTr="001C168A">
        <w:trPr>
          <w:trHeight w:val="480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国标2.0规范页面样式改造</w:t>
            </w:r>
          </w:p>
        </w:tc>
        <w:tc>
          <w:tcPr>
            <w:tcW w:w="2923" w:type="pct"/>
            <w:shd w:val="clear" w:color="auto" w:fill="auto"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left"/>
              <w:textAlignment w:val="center"/>
              <w:rPr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根据国标2.0对接要求完成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保流程页面样式改造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</w:tr>
      <w:tr w:rsidR="00CE0F04" w:rsidTr="001C168A">
        <w:trPr>
          <w:trHeight w:val="480"/>
          <w:jc w:val="center"/>
        </w:trPr>
        <w:tc>
          <w:tcPr>
            <w:tcW w:w="1202" w:type="pct"/>
            <w:gridSpan w:val="2"/>
            <w:shd w:val="clear" w:color="auto" w:fill="auto"/>
            <w:noWrap/>
            <w:vAlign w:val="center"/>
          </w:tcPr>
          <w:p w:rsidR="00CE0F04" w:rsidRDefault="00CE0F04" w:rsidP="001C168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价格（含税）：</w:t>
            </w:r>
          </w:p>
        </w:tc>
        <w:tc>
          <w:tcPr>
            <w:tcW w:w="3798" w:type="pct"/>
            <w:gridSpan w:val="3"/>
            <w:shd w:val="clear" w:color="auto" w:fill="auto"/>
            <w:vAlign w:val="center"/>
          </w:tcPr>
          <w:p w:rsidR="00CE0F04" w:rsidRDefault="00CE0F04" w:rsidP="001C168A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大写：</w:t>
            </w:r>
          </w:p>
          <w:p w:rsidR="00CE0F04" w:rsidRDefault="00CE0F04" w:rsidP="001C168A">
            <w:pPr>
              <w:spacing w:line="400" w:lineRule="exac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小写：</w:t>
            </w:r>
          </w:p>
        </w:tc>
      </w:tr>
    </w:tbl>
    <w:p w:rsidR="00B9724A" w:rsidRPr="005A1404" w:rsidRDefault="00B9724A" w:rsidP="007567A5">
      <w:pPr>
        <w:spacing w:line="300" w:lineRule="exact"/>
        <w:jc w:val="left"/>
        <w:rPr>
          <w:rFonts w:ascii="仿宋_GB2312" w:hAnsiTheme="minorEastAsia" w:cs="宋体"/>
          <w:b/>
          <w:color w:val="FF0000"/>
          <w:szCs w:val="21"/>
        </w:rPr>
      </w:pPr>
      <w:bookmarkStart w:id="0" w:name="_GoBack"/>
      <w:bookmarkEnd w:id="0"/>
      <w:r w:rsidRPr="005A1404">
        <w:rPr>
          <w:rFonts w:ascii="仿宋_GB2312" w:hAnsiTheme="minorEastAsia" w:cs="宋体" w:hint="eastAsia"/>
          <w:b/>
          <w:color w:val="FF0000"/>
          <w:szCs w:val="21"/>
        </w:rPr>
        <w:t>注意：</w:t>
      </w:r>
      <w:r w:rsidR="00E46521">
        <w:rPr>
          <w:rFonts w:ascii="仿宋_GB2312" w:hAnsiTheme="minorEastAsia" w:cs="宋体" w:hint="eastAsia"/>
          <w:b/>
          <w:color w:val="FF0000"/>
          <w:szCs w:val="21"/>
        </w:rPr>
        <w:t>带“★”的为必须满足项，不满足的报价文件则作废</w:t>
      </w:r>
      <w:r w:rsidRPr="005A1404">
        <w:rPr>
          <w:rFonts w:ascii="仿宋_GB2312" w:hAnsiTheme="minorEastAsia" w:cs="宋体" w:hint="eastAsia"/>
          <w:b/>
          <w:color w:val="FF0000"/>
          <w:szCs w:val="21"/>
        </w:rPr>
        <w:t>。</w:t>
      </w:r>
    </w:p>
    <w:p w:rsidR="00B9724A" w:rsidRPr="00B9724A" w:rsidRDefault="00B9724A" w:rsidP="005A1404">
      <w:pPr>
        <w:spacing w:line="300" w:lineRule="exact"/>
        <w:ind w:firstLineChars="201" w:firstLine="424"/>
        <w:jc w:val="left"/>
        <w:rPr>
          <w:rFonts w:ascii="仿宋_GB2312" w:hAnsiTheme="minorEastAsia" w:cs="宋体"/>
          <w:b/>
          <w:color w:val="FF0000"/>
          <w:szCs w:val="21"/>
        </w:rPr>
      </w:pPr>
    </w:p>
    <w:sectPr w:rsidR="00B9724A" w:rsidRPr="00B97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E9DF85"/>
    <w:multiLevelType w:val="singleLevel"/>
    <w:tmpl w:val="D6E9DF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452422C"/>
    <w:multiLevelType w:val="multilevel"/>
    <w:tmpl w:val="1452422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5D2401"/>
    <w:multiLevelType w:val="hybridMultilevel"/>
    <w:tmpl w:val="3AC86256"/>
    <w:lvl w:ilvl="0" w:tplc="9A2ABB8A">
      <w:start w:val="1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7" w:hanging="420"/>
      </w:pPr>
    </w:lvl>
    <w:lvl w:ilvl="2" w:tplc="0409001B" w:tentative="1">
      <w:start w:val="1"/>
      <w:numFmt w:val="lowerRoman"/>
      <w:lvlText w:val="%3."/>
      <w:lvlJc w:val="righ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9" w:tentative="1">
      <w:start w:val="1"/>
      <w:numFmt w:val="lowerLetter"/>
      <w:lvlText w:val="%5)"/>
      <w:lvlJc w:val="left"/>
      <w:pPr>
        <w:ind w:left="2617" w:hanging="420"/>
      </w:pPr>
    </w:lvl>
    <w:lvl w:ilvl="5" w:tplc="0409001B" w:tentative="1">
      <w:start w:val="1"/>
      <w:numFmt w:val="lowerRoman"/>
      <w:lvlText w:val="%6."/>
      <w:lvlJc w:val="righ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9" w:tentative="1">
      <w:start w:val="1"/>
      <w:numFmt w:val="lowerLetter"/>
      <w:lvlText w:val="%8)"/>
      <w:lvlJc w:val="left"/>
      <w:pPr>
        <w:ind w:left="3877" w:hanging="420"/>
      </w:pPr>
    </w:lvl>
    <w:lvl w:ilvl="8" w:tplc="0409001B" w:tentative="1">
      <w:start w:val="1"/>
      <w:numFmt w:val="lowerRoman"/>
      <w:lvlText w:val="%9."/>
      <w:lvlJc w:val="right"/>
      <w:pPr>
        <w:ind w:left="429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01"/>
    <w:rsid w:val="001B4DD5"/>
    <w:rsid w:val="00347601"/>
    <w:rsid w:val="00394821"/>
    <w:rsid w:val="00521DD2"/>
    <w:rsid w:val="005A1404"/>
    <w:rsid w:val="007331C7"/>
    <w:rsid w:val="007567A5"/>
    <w:rsid w:val="008322C1"/>
    <w:rsid w:val="00B9724A"/>
    <w:rsid w:val="00BE19AB"/>
    <w:rsid w:val="00CE0F04"/>
    <w:rsid w:val="00E46521"/>
    <w:rsid w:val="00F0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C1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C1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369A2-6008-4020-9D5A-671F0B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车林彬</dc:creator>
  <cp:keywords/>
  <dc:description/>
  <cp:lastModifiedBy>车林彬</cp:lastModifiedBy>
  <cp:revision>12</cp:revision>
  <dcterms:created xsi:type="dcterms:W3CDTF">2023-08-29T01:07:00Z</dcterms:created>
  <dcterms:modified xsi:type="dcterms:W3CDTF">2023-08-29T03:04:00Z</dcterms:modified>
</cp:coreProperties>
</file>