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40D7">
      <w:pPr>
        <w:widowControl/>
        <w:wordWrap w:val="0"/>
        <w:jc w:val="left"/>
        <w:rPr>
          <w:rFonts w:hint="eastAsia"/>
          <w:b w:val="0"/>
          <w:bCs w:val="0"/>
          <w:sz w:val="24"/>
          <w:szCs w:val="24"/>
          <w:lang w:val="en-US" w:eastAsia="zh-CN"/>
        </w:rPr>
      </w:pPr>
      <w:r>
        <w:rPr>
          <w:rFonts w:hint="eastAsia"/>
          <w:b w:val="0"/>
          <w:bCs w:val="0"/>
          <w:sz w:val="24"/>
          <w:szCs w:val="24"/>
          <w:lang w:val="en-US" w:eastAsia="zh-CN"/>
        </w:rPr>
        <w:t>附件</w:t>
      </w:r>
    </w:p>
    <w:p w14:paraId="0263218F">
      <w:pPr>
        <w:pStyle w:val="2"/>
        <w:rPr>
          <w:rFonts w:hint="eastAsia"/>
          <w:lang w:val="en-US" w:eastAsia="zh-CN"/>
        </w:rPr>
      </w:pPr>
    </w:p>
    <w:p w14:paraId="02C581AC">
      <w:pPr>
        <w:widowControl/>
        <w:wordWrap w:val="0"/>
        <w:jc w:val="center"/>
        <w:rPr>
          <w:b/>
          <w:bCs/>
          <w:sz w:val="32"/>
          <w:szCs w:val="32"/>
        </w:rPr>
      </w:pPr>
      <w:r>
        <w:rPr>
          <w:rFonts w:hint="eastAsia"/>
          <w:b/>
          <w:bCs/>
          <w:sz w:val="32"/>
          <w:szCs w:val="32"/>
        </w:rPr>
        <w:t>南方医科大学深圳口腔医院（坪山）</w:t>
      </w:r>
    </w:p>
    <w:p w14:paraId="36500620">
      <w:pPr>
        <w:widowControl/>
        <w:wordWrap w:val="0"/>
        <w:jc w:val="center"/>
        <w:rPr>
          <w:rFonts w:hint="default"/>
          <w:b/>
          <w:bCs/>
          <w:sz w:val="32"/>
          <w:szCs w:val="32"/>
          <w:lang w:val="en-US"/>
        </w:rPr>
      </w:pPr>
      <w:bookmarkStart w:id="1" w:name="_GoBack"/>
      <w:r>
        <w:rPr>
          <w:rFonts w:hint="eastAsia"/>
          <w:b/>
          <w:bCs/>
          <w:sz w:val="32"/>
          <w:szCs w:val="32"/>
        </w:rPr>
        <w:t>二期项目</w:t>
      </w:r>
      <w:r>
        <w:rPr>
          <w:rFonts w:hint="eastAsia"/>
          <w:b/>
          <w:bCs/>
          <w:sz w:val="32"/>
          <w:szCs w:val="32"/>
          <w:lang w:val="en-US" w:eastAsia="zh-CN"/>
        </w:rPr>
        <w:t>医疗工艺设计咨询</w:t>
      </w:r>
      <w:r>
        <w:rPr>
          <w:rFonts w:hint="eastAsia"/>
          <w:b/>
          <w:bCs/>
          <w:sz w:val="32"/>
          <w:szCs w:val="32"/>
        </w:rPr>
        <w:t>服务</w:t>
      </w:r>
      <w:r>
        <w:rPr>
          <w:rFonts w:hint="eastAsia"/>
          <w:b/>
          <w:bCs/>
          <w:sz w:val="32"/>
          <w:szCs w:val="32"/>
          <w:lang w:val="en-US" w:eastAsia="zh-CN"/>
        </w:rPr>
        <w:t>项目基本情况及需求</w:t>
      </w:r>
    </w:p>
    <w:bookmarkEnd w:id="1"/>
    <w:p w14:paraId="2AEF3C44"/>
    <w:p w14:paraId="1FA9DA05">
      <w:pPr>
        <w:ind w:left="567" w:hanging="567"/>
        <w:jc w:val="center"/>
        <w:rPr>
          <w:rFonts w:hint="default" w:eastAsia="宋体" w:cs="宋体"/>
          <w:b/>
          <w:bCs/>
          <w:sz w:val="30"/>
          <w:szCs w:val="30"/>
          <w:lang w:val="en-US" w:eastAsia="zh-CN"/>
        </w:rPr>
      </w:pPr>
      <w:r>
        <w:rPr>
          <w:rFonts w:hint="eastAsia" w:cs="宋体"/>
          <w:b/>
          <w:bCs/>
          <w:sz w:val="30"/>
          <w:szCs w:val="30"/>
        </w:rPr>
        <w:t>第</w:t>
      </w:r>
      <w:r>
        <w:rPr>
          <w:rFonts w:hint="eastAsia" w:cs="宋体"/>
          <w:b/>
          <w:bCs/>
          <w:sz w:val="30"/>
          <w:szCs w:val="30"/>
          <w:lang w:val="en-US" w:eastAsia="zh-CN"/>
        </w:rPr>
        <w:t>一</w:t>
      </w:r>
      <w:r>
        <w:rPr>
          <w:rFonts w:hint="eastAsia" w:cs="宋体"/>
          <w:b/>
          <w:bCs/>
          <w:sz w:val="30"/>
          <w:szCs w:val="30"/>
        </w:rPr>
        <w:t xml:space="preserve">部分  </w:t>
      </w:r>
      <w:r>
        <w:rPr>
          <w:rFonts w:hint="eastAsia" w:cs="宋体"/>
          <w:b/>
          <w:bCs/>
          <w:sz w:val="30"/>
          <w:szCs w:val="30"/>
          <w:lang w:val="en-US" w:eastAsia="zh-CN"/>
        </w:rPr>
        <w:t>项目概况</w:t>
      </w:r>
    </w:p>
    <w:p w14:paraId="1AEB07B3">
      <w:pPr>
        <w:ind w:firstLine="482" w:firstLineChars="200"/>
        <w:rPr>
          <w:b/>
        </w:rPr>
      </w:pPr>
      <w:r>
        <w:rPr>
          <w:rFonts w:hint="eastAsia"/>
          <w:b/>
        </w:rPr>
        <w:t>一</w:t>
      </w:r>
      <w:r>
        <w:rPr>
          <w:rFonts w:hint="eastAsia"/>
          <w:b/>
          <w:lang w:eastAsia="zh-CN"/>
        </w:rPr>
        <w:t>、</w:t>
      </w:r>
      <w:r>
        <w:rPr>
          <w:rFonts w:hint="eastAsia"/>
          <w:b/>
        </w:rPr>
        <w:t>项目定位</w:t>
      </w:r>
    </w:p>
    <w:p w14:paraId="366867C3">
      <w:pPr>
        <w:ind w:firstLine="480" w:firstLineChars="200"/>
      </w:pPr>
      <w:r>
        <w:rPr>
          <w:rFonts w:hint="eastAsia"/>
        </w:rPr>
        <w:t>南方医科大学深圳口腔医院（坪山）将按口腔医院、口腔临床医学院、口腔医学研究院，口腔医疗保健中心、口腔医学产学研孵化转化中心“三院二中心”为一体的办院模式，建成立足深圳、服务粤港澳大湾区、面向海外，集综合医疗、人才培养、科学研究、医疗保健与技能培训为一体，集口腔医疗、全身系统病变口腔表现疾病诊疗的集成式、综合性医疗基地，国内一流、国际先进的口腔医学国家级区域医学中心。</w:t>
      </w:r>
    </w:p>
    <w:p w14:paraId="3FE74620">
      <w:pPr>
        <w:ind w:firstLine="482" w:firstLineChars="200"/>
        <w:rPr>
          <w:b/>
        </w:rPr>
      </w:pPr>
      <w:r>
        <w:rPr>
          <w:rFonts w:hint="eastAsia"/>
          <w:b/>
        </w:rPr>
        <w:t>二</w:t>
      </w:r>
      <w:r>
        <w:rPr>
          <w:rFonts w:hint="eastAsia"/>
          <w:b/>
          <w:lang w:eastAsia="zh-CN"/>
        </w:rPr>
        <w:t>、</w:t>
      </w:r>
      <w:r>
        <w:rPr>
          <w:rFonts w:hint="eastAsia"/>
          <w:b/>
        </w:rPr>
        <w:t>项目建设规模和投资</w:t>
      </w:r>
    </w:p>
    <w:p w14:paraId="6BF72918">
      <w:pPr>
        <w:ind w:firstLine="480" w:firstLineChars="200"/>
      </w:pPr>
      <w:r>
        <w:rPr>
          <w:rFonts w:hint="eastAsia"/>
        </w:rPr>
        <w:t xml:space="preserve">医院规划床位100张、牙椅300台。分两期建设：一期项目设置床位30张、牙椅60台；二期项目设置床位70张、牙椅240台。南方医科大学深圳口腔医院（坪山）二期拟建总建筑面积119756.36㎡，建设总投资18个亿，其中建设工程总投资138361万元，医疗设备购置费28026万元，智慧医院及信息化系统15090万元，开办费3720万元。 </w:t>
      </w:r>
    </w:p>
    <w:p w14:paraId="21FA3199">
      <w:pPr>
        <w:ind w:firstLine="482" w:firstLineChars="200"/>
        <w:rPr>
          <w:b/>
        </w:rPr>
      </w:pPr>
      <w:r>
        <w:rPr>
          <w:rFonts w:hint="eastAsia"/>
          <w:b/>
        </w:rPr>
        <w:t>三</w:t>
      </w:r>
      <w:r>
        <w:rPr>
          <w:rFonts w:hint="eastAsia"/>
          <w:b/>
          <w:lang w:eastAsia="zh-CN"/>
        </w:rPr>
        <w:t>、</w:t>
      </w:r>
      <w:r>
        <w:rPr>
          <w:rFonts w:hint="eastAsia"/>
          <w:b/>
        </w:rPr>
        <w:t>场址选择与建设条件</w:t>
      </w:r>
    </w:p>
    <w:p w14:paraId="689E2C08">
      <w:pPr>
        <w:ind w:firstLine="480" w:firstLineChars="200"/>
      </w:pPr>
      <w:r>
        <w:rPr>
          <w:rFonts w:hint="eastAsia"/>
        </w:rPr>
        <w:t>本项目拟建场地位于深圳市坪山区坪山街道沙新路和龙新路交汇处西北侧，东临规划沙新路，南临规划龙新路、东城环路，西临规划支路、民强路、龙坪大道，北临东纵路，二期用地面积45138.80㎡，项目一期用地面积2200㎡，一期、二期总用地面积共计47338.80㎡。项目位置详见下图。</w:t>
      </w:r>
    </w:p>
    <w:p w14:paraId="603E5395">
      <w:pPr>
        <w:jc w:val="center"/>
        <w:rPr>
          <w:rFonts w:ascii="仿宋_GB2312" w:eastAsia="仿宋_GB2312"/>
          <w:szCs w:val="28"/>
        </w:rPr>
      </w:pPr>
      <w:r>
        <w:drawing>
          <wp:inline distT="0" distB="0" distL="0" distR="0">
            <wp:extent cx="5052695" cy="4175760"/>
            <wp:effectExtent l="0" t="0" r="1460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2695" cy="4175760"/>
                    </a:xfrm>
                    <a:prstGeom prst="rect">
                      <a:avLst/>
                    </a:prstGeom>
                    <a:noFill/>
                    <a:ln>
                      <a:noFill/>
                    </a:ln>
                  </pic:spPr>
                </pic:pic>
              </a:graphicData>
            </a:graphic>
          </wp:inline>
        </w:drawing>
      </w:r>
    </w:p>
    <w:p w14:paraId="0654C126">
      <w:pPr>
        <w:ind w:firstLine="210" w:firstLineChars="100"/>
        <w:rPr>
          <w:sz w:val="21"/>
          <w:szCs w:val="21"/>
        </w:rPr>
      </w:pPr>
      <w:r>
        <w:rPr>
          <w:rFonts w:hint="eastAsia"/>
          <w:sz w:val="21"/>
          <w:szCs w:val="21"/>
        </w:rPr>
        <w:t>备注：红线标注位置为项目一期用地，用地面积2200㎡。</w:t>
      </w:r>
    </w:p>
    <w:p w14:paraId="78E3E8C6">
      <w:pPr>
        <w:jc w:val="center"/>
        <w:rPr>
          <w:rFonts w:ascii="黑体" w:hAnsi="黑体" w:eastAsia="黑体"/>
        </w:rPr>
      </w:pPr>
      <w:r>
        <w:rPr>
          <w:rFonts w:hint="eastAsia" w:ascii="黑体" w:hAnsi="黑体" w:eastAsia="黑体"/>
        </w:rPr>
        <w:t>图</w:t>
      </w:r>
      <w:r>
        <w:rPr>
          <w:rFonts w:ascii="黑体" w:hAnsi="黑体" w:eastAsia="黑体"/>
        </w:rPr>
        <w:t xml:space="preserve">1  </w:t>
      </w:r>
      <w:r>
        <w:rPr>
          <w:rFonts w:hint="eastAsia" w:ascii="黑体" w:hAnsi="黑体" w:eastAsia="黑体"/>
        </w:rPr>
        <w:t>地理位置图</w:t>
      </w:r>
    </w:p>
    <w:p w14:paraId="6963069C">
      <w:pPr>
        <w:ind w:firstLine="602" w:firstLineChars="200"/>
        <w:rPr>
          <w:rFonts w:cs="宋体"/>
          <w:b/>
          <w:bCs/>
          <w:sz w:val="30"/>
          <w:szCs w:val="30"/>
        </w:rPr>
      </w:pPr>
    </w:p>
    <w:p w14:paraId="701D629D">
      <w:pPr>
        <w:ind w:left="567" w:hanging="567"/>
        <w:jc w:val="center"/>
        <w:rPr>
          <w:rFonts w:cs="宋体"/>
          <w:b/>
          <w:bCs/>
          <w:sz w:val="30"/>
          <w:szCs w:val="30"/>
        </w:rPr>
        <w:sectPr>
          <w:footerReference r:id="rId5" w:type="default"/>
          <w:pgSz w:w="11906" w:h="16838"/>
          <w:pgMar w:top="1440" w:right="1800" w:bottom="1440" w:left="1800" w:header="851" w:footer="992" w:gutter="0"/>
          <w:pgNumType w:start="1"/>
          <w:cols w:space="720" w:num="1"/>
          <w:docGrid w:type="lines" w:linePitch="312" w:charSpace="0"/>
        </w:sectPr>
      </w:pPr>
    </w:p>
    <w:p w14:paraId="6C3B6D82">
      <w:pPr>
        <w:tabs>
          <w:tab w:val="left" w:pos="0"/>
        </w:tabs>
        <w:rPr>
          <w:rFonts w:cs="宋体"/>
          <w:color w:val="000000"/>
          <w:sz w:val="21"/>
          <w:szCs w:val="21"/>
        </w:rPr>
      </w:pPr>
    </w:p>
    <w:p w14:paraId="644FC3EB">
      <w:pPr>
        <w:ind w:left="567" w:hanging="567"/>
        <w:jc w:val="center"/>
        <w:rPr>
          <w:rFonts w:cs="宋体"/>
          <w:b/>
          <w:bCs/>
          <w:sz w:val="30"/>
          <w:szCs w:val="30"/>
        </w:rPr>
      </w:pPr>
      <w:r>
        <w:rPr>
          <w:rFonts w:hint="eastAsia" w:cs="宋体"/>
          <w:b/>
          <w:bCs/>
          <w:sz w:val="30"/>
          <w:szCs w:val="30"/>
        </w:rPr>
        <w:t>第</w:t>
      </w:r>
      <w:r>
        <w:rPr>
          <w:rFonts w:hint="eastAsia" w:cs="宋体"/>
          <w:b/>
          <w:bCs/>
          <w:sz w:val="30"/>
          <w:szCs w:val="30"/>
          <w:lang w:val="en-US" w:eastAsia="zh-CN"/>
        </w:rPr>
        <w:t>二</w:t>
      </w:r>
      <w:r>
        <w:rPr>
          <w:rFonts w:hint="eastAsia" w:cs="宋体"/>
          <w:b/>
          <w:bCs/>
          <w:sz w:val="30"/>
          <w:szCs w:val="30"/>
        </w:rPr>
        <w:t>部分  项目管理及服务要求</w:t>
      </w:r>
    </w:p>
    <w:p w14:paraId="76448877">
      <w:pPr>
        <w:ind w:firstLine="482" w:firstLineChars="200"/>
        <w:rPr>
          <w:b/>
        </w:rPr>
      </w:pPr>
      <w:r>
        <w:rPr>
          <w:rFonts w:hint="eastAsia"/>
          <w:b/>
        </w:rPr>
        <w:t>一、主要内容：</w:t>
      </w:r>
    </w:p>
    <w:p w14:paraId="09D73E7F">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南方医科大学深圳口腔医院（坪山）将按口腔医院、口腔临床医学院、口腔医学研究院，口腔医疗保健中心、口腔医学产学研孵化转化中心“三院二中心”为一体的办院模式，建成立足深圳、服务粤港澳大湾区、面向海外，集综合医疗、人才培养、科学研究、医疗保健与技能培训为一体，集口腔医疗、全身系统病变口腔表现疾病诊疗的集成式、综合性医疗基地，国内一流、国际先进的口腔医学国家级区域医学中心。结合</w:t>
      </w:r>
      <w:r>
        <w:rPr>
          <w:rFonts w:hint="eastAsia" w:ascii="宋体" w:hAnsi="宋体" w:cs="宋体"/>
          <w:color w:val="000000" w:themeColor="text1"/>
          <w:kern w:val="2"/>
          <w:sz w:val="24"/>
          <w:szCs w:val="24"/>
          <w:lang w:val="en-US" w:eastAsia="zh-CN"/>
          <w14:textFill>
            <w14:solidFill>
              <w14:schemeClr w14:val="tx1"/>
            </w14:solidFill>
          </w14:textFill>
        </w:rPr>
        <w:t>医院</w:t>
      </w:r>
      <w:r>
        <w:rPr>
          <w:rFonts w:hint="eastAsia" w:ascii="宋体" w:hAnsi="宋体" w:cs="宋体"/>
          <w:color w:val="000000" w:themeColor="text1"/>
          <w:kern w:val="2"/>
          <w:sz w:val="24"/>
          <w:szCs w:val="24"/>
          <w14:textFill>
            <w14:solidFill>
              <w14:schemeClr w14:val="tx1"/>
            </w14:solidFill>
          </w14:textFill>
        </w:rPr>
        <w:t>的定位和发展规划，规划符合实际需求、适当超前、持续发展的建设方案。</w:t>
      </w:r>
    </w:p>
    <w:p w14:paraId="2DE408E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1、项目发展定位研究：组织建设单位、使用单位结合行业发展趋势和配套政策，对项目发展定位、经营目标进行调研、讨论和论证，明确项目的发展目标；</w:t>
      </w:r>
    </w:p>
    <w:p w14:paraId="0632350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2、项目市场环境分析：根据项目规划所处区位，分析未来经营服务范围和目标，对项目所承担行政职能、周边区域卫生资源、以及同类资源竞争进行分析；</w:t>
      </w:r>
    </w:p>
    <w:p w14:paraId="751E6FC2">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3、项目学科建设分析：通过对项目使用单位目前各临床学科运营现状进行调研，与使用单位领导对未来临床业务规划研讨，完成重点学和常规发展学科规划目标及规模；</w:t>
      </w:r>
    </w:p>
    <w:p w14:paraId="6F210527">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4、项目规模及分期建议：根据上述总体医疗规划的明确，计算统计出面积指标和主要医疗设备配置，为项目投资规模的估算提供数据支撑，并根据投资估算和医疗规划提供分期规划建设的建议性方案。准确表达</w:t>
      </w:r>
      <w:r>
        <w:rPr>
          <w:rFonts w:hint="eastAsia" w:ascii="宋体" w:hAnsi="宋体" w:cs="宋体"/>
          <w:color w:val="000000" w:themeColor="text1"/>
          <w:kern w:val="2"/>
          <w:sz w:val="24"/>
          <w:szCs w:val="24"/>
          <w:lang w:val="en-US" w:eastAsia="zh-CN"/>
          <w14:textFill>
            <w14:solidFill>
              <w14:schemeClr w14:val="tx1"/>
            </w14:solidFill>
          </w14:textFill>
        </w:rPr>
        <w:t>需求方</w:t>
      </w:r>
      <w:r>
        <w:rPr>
          <w:rFonts w:hint="eastAsia" w:ascii="宋体" w:hAnsi="宋体" w:cs="宋体"/>
          <w:color w:val="000000" w:themeColor="text1"/>
          <w:kern w:val="2"/>
          <w:sz w:val="24"/>
          <w:szCs w:val="24"/>
          <w14:textFill>
            <w14:solidFill>
              <w14:schemeClr w14:val="tx1"/>
            </w14:solidFill>
          </w14:textFill>
        </w:rPr>
        <w:t>对项目的医疗规划要</w:t>
      </w:r>
      <w:r>
        <w:rPr>
          <w:rFonts w:hint="eastAsia" w:ascii="宋体" w:hAnsi="宋体" w:cs="宋体"/>
          <w:color w:val="000000" w:themeColor="text1"/>
          <w:kern w:val="2"/>
          <w:sz w:val="24"/>
          <w:szCs w:val="24"/>
          <w:highlight w:val="none"/>
          <w14:textFill>
            <w14:solidFill>
              <w14:schemeClr w14:val="tx1"/>
            </w14:solidFill>
          </w14:textFill>
        </w:rPr>
        <w:t>求，以及医院建设规模、设计标准、设计深度的要求，编制设计任务书。</w:t>
      </w:r>
    </w:p>
    <w:p w14:paraId="1BD953CD">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新老建筑和功能统筹兼顾、高效联动研究：统筹兼顾一期和二期之间的医疗功能，进行资源整合、总体布局、有效衔接和融合，结合医、教、研规划分析，对医院学科布局、功能需求、设计参数、医疗分区面积、主要医疗设备需求、医疗专项等分析，逐级完成一、二、三级医疗工艺流程。</w:t>
      </w:r>
    </w:p>
    <w:p w14:paraId="697529F1">
      <w:pPr>
        <w:ind w:firstLine="480" w:firstLineChars="200"/>
        <w:rPr>
          <w:highlight w:val="none"/>
        </w:rPr>
      </w:pPr>
      <w:r>
        <w:rPr>
          <w:rFonts w:hint="eastAsia"/>
          <w:highlight w:val="none"/>
        </w:rPr>
        <w:t>要求各章节内容齐备，参与</w:t>
      </w:r>
      <w:r>
        <w:rPr>
          <w:rFonts w:hint="eastAsia"/>
          <w:highlight w:val="none"/>
          <w:lang w:val="en-US" w:eastAsia="zh-CN"/>
        </w:rPr>
        <w:t>项目立项文件、可行性研究报告、项目概算</w:t>
      </w:r>
      <w:r>
        <w:rPr>
          <w:rFonts w:hint="eastAsia"/>
          <w:highlight w:val="none"/>
        </w:rPr>
        <w:t>报告送审，</w:t>
      </w:r>
      <w:r>
        <w:rPr>
          <w:rFonts w:hint="eastAsia"/>
          <w:highlight w:val="none"/>
          <w:lang w:val="en-US" w:eastAsia="zh-CN"/>
        </w:rPr>
        <w:t>参与</w:t>
      </w:r>
      <w:r>
        <w:rPr>
          <w:rFonts w:hint="eastAsia"/>
          <w:highlight w:val="none"/>
        </w:rPr>
        <w:t>评审会答辩等事宜，直至项目取得发改部门的相关阶段的批复。</w:t>
      </w:r>
    </w:p>
    <w:p w14:paraId="03BE0D7B">
      <w:pPr>
        <w:spacing w:line="360" w:lineRule="exact"/>
        <w:ind w:firstLine="482" w:firstLineChars="200"/>
        <w:jc w:val="left"/>
        <w:rPr>
          <w:rFonts w:ascii="宋体" w:hAnsi="宋体"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二、</w:t>
      </w:r>
      <w:r>
        <w:rPr>
          <w:rFonts w:hint="eastAsia" w:ascii="宋体" w:hAnsi="宋体" w:cs="宋体"/>
          <w:b/>
          <w:color w:val="000000" w:themeColor="text1"/>
          <w:sz w:val="24"/>
          <w:szCs w:val="24"/>
          <w:highlight w:val="none"/>
          <w14:textFill>
            <w14:solidFill>
              <w14:schemeClr w14:val="tx1"/>
            </w14:solidFill>
          </w14:textFill>
        </w:rPr>
        <w:t>服务范围和内容</w:t>
      </w:r>
    </w:p>
    <w:p w14:paraId="10F84E6A">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按照国家、广东省、深圳市等现行有关规范、规定开展本项目全过程的医疗工艺设计咨询工作。</w:t>
      </w:r>
    </w:p>
    <w:p w14:paraId="1F66F366">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服务范围</w:t>
      </w:r>
      <w:r>
        <w:rPr>
          <w:rFonts w:hint="eastAsia" w:ascii="宋体" w:hAnsi="宋体" w:cs="宋体"/>
          <w:b/>
          <w:bCs/>
          <w:color w:val="000000" w:themeColor="text1"/>
          <w:kern w:val="2"/>
          <w:sz w:val="24"/>
          <w:szCs w:val="24"/>
          <w:highlight w:val="none"/>
          <w14:textFill>
            <w14:solidFill>
              <w14:schemeClr w14:val="tx1"/>
            </w14:solidFill>
          </w14:textFill>
        </w:rPr>
        <w:t>包括但不限于</w:t>
      </w:r>
      <w:r>
        <w:rPr>
          <w:rFonts w:hint="eastAsia" w:ascii="宋体" w:hAnsi="宋体" w:cs="宋体"/>
          <w:color w:val="000000" w:themeColor="text1"/>
          <w:kern w:val="2"/>
          <w:sz w:val="24"/>
          <w:szCs w:val="24"/>
          <w:highlight w:val="none"/>
          <w14:textFill>
            <w14:solidFill>
              <w14:schemeClr w14:val="tx1"/>
            </w14:solidFill>
          </w14:textFill>
        </w:rPr>
        <w:t>以下四部分工作内容：</w:t>
      </w:r>
    </w:p>
    <w:p w14:paraId="58BE6B4D">
      <w:pPr>
        <w:pStyle w:val="15"/>
        <w:spacing w:line="360" w:lineRule="exact"/>
        <w:ind w:firstLine="482" w:firstLineChars="200"/>
        <w:rPr>
          <w:rFonts w:ascii="宋体" w:hAnsi="宋体" w:cs="宋体"/>
          <w:b/>
          <w:bCs/>
          <w:color w:val="000000" w:themeColor="text1"/>
          <w:kern w:val="2"/>
          <w:sz w:val="24"/>
          <w:szCs w:val="24"/>
          <w14:textFill>
            <w14:solidFill>
              <w14:schemeClr w14:val="tx1"/>
            </w14:solidFill>
          </w14:textFill>
        </w:rPr>
      </w:pPr>
      <w:bookmarkStart w:id="0" w:name="_Hlk120204046"/>
      <w:r>
        <w:rPr>
          <w:rFonts w:hint="eastAsia" w:ascii="宋体" w:hAnsi="宋体" w:cs="宋体"/>
          <w:b/>
          <w:bCs/>
          <w:color w:val="000000" w:themeColor="text1"/>
          <w:kern w:val="2"/>
          <w:sz w:val="24"/>
          <w:szCs w:val="24"/>
          <w14:textFill>
            <w14:solidFill>
              <w14:schemeClr w14:val="tx1"/>
            </w14:solidFill>
          </w14:textFill>
        </w:rPr>
        <w:t>第一部分：医疗工艺规划阶段</w:t>
      </w:r>
    </w:p>
    <w:p w14:paraId="3621A4AB">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（一）项目基础资料提资要求：</w:t>
      </w:r>
    </w:p>
    <w:p w14:paraId="58F8A8C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1）项目进度要求：</w:t>
      </w:r>
    </w:p>
    <w:p w14:paraId="29255349">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包括：报规时间、开工计划等；</w:t>
      </w:r>
    </w:p>
    <w:p w14:paraId="64A9BB4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作用：倒排医疗工艺工作计划。</w:t>
      </w:r>
    </w:p>
    <w:p w14:paraId="0173C276">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2）需提供资料：</w:t>
      </w:r>
    </w:p>
    <w:p w14:paraId="653731AB">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包括：未来</w:t>
      </w:r>
      <w:r>
        <w:rPr>
          <w:rFonts w:hint="eastAsia" w:ascii="宋体" w:hAnsi="宋体" w:cs="宋体"/>
          <w:color w:val="000000" w:themeColor="text1"/>
          <w:kern w:val="2"/>
          <w:sz w:val="24"/>
          <w:szCs w:val="24"/>
          <w:highlight w:val="none"/>
          <w:lang w:eastAsia="zh-CN"/>
          <w14:textFill>
            <w14:solidFill>
              <w14:schemeClr w14:val="tx1"/>
            </w14:solidFill>
          </w14:textFill>
        </w:rPr>
        <w:t>““十四五””</w:t>
      </w:r>
      <w:r>
        <w:rPr>
          <w:rFonts w:hint="eastAsia" w:ascii="宋体" w:hAnsi="宋体" w:cs="宋体"/>
          <w:color w:val="000000" w:themeColor="text1"/>
          <w:kern w:val="2"/>
          <w:sz w:val="24"/>
          <w:szCs w:val="24"/>
          <w:highlight w:val="none"/>
          <w14:textFill>
            <w14:solidFill>
              <w14:schemeClr w14:val="tx1"/>
            </w14:solidFill>
          </w14:textFill>
        </w:rPr>
        <w:t>规划、重点学科发展思路、用地红线图、近</w:t>
      </w:r>
      <w:r>
        <w:rPr>
          <w:rFonts w:hint="eastAsia" w:ascii="宋体" w:hAnsi="宋体" w:cs="宋体"/>
          <w:color w:val="000000" w:themeColor="text1"/>
          <w:kern w:val="2"/>
          <w:sz w:val="24"/>
          <w:szCs w:val="24"/>
          <w:highlight w:val="none"/>
          <w:lang w:val="en-US" w:eastAsia="zh-CN"/>
          <w14:textFill>
            <w14:solidFill>
              <w14:schemeClr w14:val="tx1"/>
            </w14:solidFill>
          </w14:textFill>
        </w:rPr>
        <w:t>四</w:t>
      </w:r>
      <w:r>
        <w:rPr>
          <w:rFonts w:hint="eastAsia" w:ascii="宋体" w:hAnsi="宋体" w:cs="宋体"/>
          <w:color w:val="000000" w:themeColor="text1"/>
          <w:kern w:val="2"/>
          <w:sz w:val="24"/>
          <w:szCs w:val="24"/>
          <w:highlight w:val="none"/>
          <w14:textFill>
            <w14:solidFill>
              <w14:schemeClr w14:val="tx1"/>
            </w14:solidFill>
          </w14:textFill>
        </w:rPr>
        <w:t>年运营数据、重点功能的系统选型（如门诊、住院单元）等；</w:t>
      </w:r>
    </w:p>
    <w:p w14:paraId="031A8116">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作用：协助院方合理设置学科，制定学科群发展规划，向建筑精准提资。</w:t>
      </w:r>
    </w:p>
    <w:p w14:paraId="2D5A3076">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（二）前期医疗工艺规划工作流程：</w:t>
      </w:r>
    </w:p>
    <w:p w14:paraId="482DCE0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第一阶段医院建设规划分析。运用循证设计的理念，对各类数据进行推导计算，预测相关的决策性技术指标，以达到应用数据的科学性。</w:t>
      </w:r>
    </w:p>
    <w:p w14:paraId="7919A10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工作内容包含：</w:t>
      </w:r>
    </w:p>
    <w:p w14:paraId="243F7B0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1、结合医院整体规划和既定的床位规模，完成门诊量、手术量、大型设备数量等相关设计参数或指标的测算；</w:t>
      </w:r>
    </w:p>
    <w:p w14:paraId="3D204D6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2、结合医院学科部署情况，对医院重点学科的建设进行规划；</w:t>
      </w:r>
    </w:p>
    <w:p w14:paraId="69A117C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3、根据医院的重点学科目标，论证医院各功能板块的建设规模、建设内容、功能定位等；</w:t>
      </w:r>
    </w:p>
    <w:p w14:paraId="34E1153F">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4、根据现代化医院建设发展趋势，完成医院建设模式的建议；</w:t>
      </w:r>
    </w:p>
    <w:p w14:paraId="412D26D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5、基于建设模式、重点学科以及设计参数，完成各功能板块核心配置（类型和数量）的计（测）算；</w:t>
      </w:r>
    </w:p>
    <w:p w14:paraId="257BF51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6、基于调研数据的分析推导，针对医院建设模型下，完成全院医疗人员、重点学科医疗人员配置建议；</w:t>
      </w:r>
    </w:p>
    <w:p w14:paraId="2FA675D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7、基于测算的医院建设规模、建设内容等指标，完成全院科研/教学人员数量测算；</w:t>
      </w:r>
    </w:p>
    <w:p w14:paraId="02EEAFAE">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8、基于测算的医院建设规模、建设内容等指标，完成大型医疗设备规划测算。</w:t>
      </w:r>
    </w:p>
    <w:p w14:paraId="69A6FB06">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第二阶段与业主方沟通前期医疗规划建议书初稿，进行政策层面和技术层面的深度交流，沟通项目医疗规划，论证顶层设计的科学性与合理性。</w:t>
      </w:r>
    </w:p>
    <w:p w14:paraId="139CD9C0">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与医院运营管理团队，共同完成以下初稿的合理性讨论，并得出明确的调整意见包含：</w:t>
      </w:r>
    </w:p>
    <w:p w14:paraId="3E4C2B8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1、共同论证医院总体发展规划、建设规模；</w:t>
      </w:r>
    </w:p>
    <w:p w14:paraId="3AA1140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2、共同论证医院的建设模式；</w:t>
      </w:r>
    </w:p>
    <w:p w14:paraId="2CA5A5D2">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3、共同论证合理的规划量化指标；</w:t>
      </w:r>
    </w:p>
    <w:p w14:paraId="325F140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4、共同论证重点学科建设规划；</w:t>
      </w:r>
    </w:p>
    <w:p w14:paraId="642381F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5、共同论证医院医疗分区设置；</w:t>
      </w:r>
    </w:p>
    <w:p w14:paraId="74512AF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6、共同论证全院医疗人员、重点学科医疗人员配置；</w:t>
      </w:r>
    </w:p>
    <w:p w14:paraId="5D89C143">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7、共同论证全院科研/教学人员数量测算；</w:t>
      </w:r>
    </w:p>
    <w:p w14:paraId="3370913E">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8、共同论证大型医疗设备规划测算；</w:t>
      </w:r>
    </w:p>
    <w:p w14:paraId="2833B0C5">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第三阶段报告编制。梳理思维逻辑，建立报告框架，将复杂的数据简单化，保证所有的信息来源都有依有据，并且可以支撑相关的顶层设计规划。</w:t>
      </w:r>
    </w:p>
    <w:p w14:paraId="79988D06">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工作内容包含：</w:t>
      </w:r>
    </w:p>
    <w:p w14:paraId="638F697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1、《医疗功能规划表》</w:t>
      </w:r>
    </w:p>
    <w:p w14:paraId="0F0C441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需清晰表达量化各功能单元的功能分区、建筑面积、核心配置（含类型和数量）等。</w:t>
      </w:r>
    </w:p>
    <w:p w14:paraId="64853958">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2、《大型医疗设备统计表》</w:t>
      </w:r>
    </w:p>
    <w:p w14:paraId="2C23E56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支撑项目建设内容、建设规模下，医技学科、临床学科所需的大型医疗设备。</w:t>
      </w:r>
    </w:p>
    <w:p w14:paraId="2C7E7FBA">
      <w:pPr>
        <w:pStyle w:val="15"/>
        <w:tabs>
          <w:tab w:val="left" w:pos="3178"/>
        </w:tabs>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（三）咨询成果：</w:t>
      </w:r>
      <w:r>
        <w:rPr>
          <w:rFonts w:hint="eastAsia" w:ascii="宋体" w:hAnsi="宋体" w:cs="宋体"/>
          <w:color w:val="000000" w:themeColor="text1"/>
          <w:kern w:val="2"/>
          <w:sz w:val="24"/>
          <w:szCs w:val="24"/>
          <w14:textFill>
            <w14:solidFill>
              <w14:schemeClr w14:val="tx1"/>
            </w14:solidFill>
          </w14:textFill>
        </w:rPr>
        <w:tab/>
      </w:r>
    </w:p>
    <w:p w14:paraId="4DC162BD">
      <w:pPr>
        <w:pStyle w:val="15"/>
        <w:spacing w:line="36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《医疗设置规划书》（含《医疗功能规划表》、《大型医疗设备统计表》），主要包括医院建设目标和定位、建设的背景、建设内容、各功能板块的功能规划、医疗专项等内容。 </w:t>
      </w:r>
    </w:p>
    <w:p w14:paraId="71A0343D">
      <w:pPr>
        <w:pStyle w:val="15"/>
        <w:spacing w:line="360" w:lineRule="exact"/>
        <w:ind w:firstLine="482" w:firstLineChars="200"/>
        <w:rPr>
          <w:rFonts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第二部分：医疗方案设计阶段</w:t>
      </w:r>
    </w:p>
    <w:p w14:paraId="423FE82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医疗工艺方案设计包括和医疗工艺二级流程设计。</w:t>
      </w:r>
    </w:p>
    <w:p w14:paraId="545B232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医疗工艺一级流程设计内容为医院各医疗功能单元之间的组团关系规划。医疗工艺二级流程设计内容为各医疗功能单元内部功能房间的组织关系与流程规划。</w:t>
      </w:r>
    </w:p>
    <w:p w14:paraId="0BF66EB2">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（一）医疗工艺一级流程设计阶段</w:t>
      </w:r>
    </w:p>
    <w:p w14:paraId="39807CB2">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医疗工艺一级流程设计工作流程：</w:t>
      </w:r>
    </w:p>
    <w:p w14:paraId="1A6A66EF">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第一阶段根据前期规划已确认的规模指标完成各医疗功能单元在建筑内学科轮廓与位置的规划，形成平面与竖向交通的体系规划，协助建筑完成主要出入口、各类流线组织及院内交通组织的优化设计，匹配建筑平面总体规划，并与医院管理层进行完整方案的沟通确认，以保证设计方案与医院运营管理模式的最佳契合，打造真正属于本项目的安全、高效提升方案。</w:t>
      </w:r>
    </w:p>
    <w:p w14:paraId="3B99F68B">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工作内容包含：</w:t>
      </w:r>
    </w:p>
    <w:p w14:paraId="64DB44B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1、协助业主单位核对建筑方案与设计任务书的匹配度；</w:t>
      </w:r>
    </w:p>
    <w:p w14:paraId="54F4C80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（1）医院建筑方案中应体现对全院内各功能建筑体之间的分布规划，并确定院内各类型出入口（门诊出入口、急诊出入口、住院出入口、后勤出入口等）设置与人、车、物的院内交通组织规划流线；</w:t>
      </w:r>
    </w:p>
    <w:p w14:paraId="5C33D31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（2）对建筑方案与设计任务书之间存在的偏差进行问题分析和梳理；</w:t>
      </w:r>
    </w:p>
    <w:p w14:paraId="65CA7FF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（3）通过与医院业主单位、建筑单位和建设单位的多方会议明确对建筑方案的评审意见；</w:t>
      </w:r>
    </w:p>
    <w:p w14:paraId="7EA946D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（4）促进形成稳定的建筑方案（建筑外轮廓、柱网、标高和核心交通组织），以作为正式启动医疗工艺一级流程的基础条件。</w:t>
      </w:r>
    </w:p>
    <w:p w14:paraId="67DD4C0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2、医疗工艺一级流程功能单元组团分布；</w:t>
      </w:r>
    </w:p>
    <w:p w14:paraId="7FED75E8">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（1）结合医院运营模式和重点学科发展方向，对医院建筑整体布局提出建议；</w:t>
      </w:r>
    </w:p>
    <w:p w14:paraId="2A8BA1D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（2）结合建筑形态，对各功能组团分布设置方案进行推演；</w:t>
      </w:r>
    </w:p>
    <w:p w14:paraId="7A7BC63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（3）结合医疗工艺规划的成果，对项目医疗规划重要指标进行论证；</w:t>
      </w:r>
    </w:p>
    <w:p w14:paraId="07F59BC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（4）结合设计规范、设计标准，对院感控制重点问题提出工艺流程策略。</w:t>
      </w:r>
    </w:p>
    <w:p w14:paraId="3AF3038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3、医疗工艺一级流程设计内容；</w:t>
      </w:r>
    </w:p>
    <w:p w14:paraId="25A55EA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（1）确定工艺总平面规划中各类型出入口与院内各项交通流线；</w:t>
      </w:r>
    </w:p>
    <w:p w14:paraId="3844BB4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（2）结合前期确定的学科规模与定位，确定院内医疗功能各项板块在建筑内的规划方案；</w:t>
      </w:r>
    </w:p>
    <w:p w14:paraId="68DE0EDB">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（3）确定院内重点标准化功能板块（如：门诊、住院）对应的建筑形态方案。</w:t>
      </w:r>
    </w:p>
    <w:p w14:paraId="6E0CAE9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（4）核定各功能单元轮廓线及面积指标。</w:t>
      </w:r>
    </w:p>
    <w:p w14:paraId="266EC18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（5）核定交通核心筒的电梯、扶梯、步梯的数量、位置及功能属性。</w:t>
      </w:r>
    </w:p>
    <w:p w14:paraId="7E840E49">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（6）确定院内各类人流、物流等交通流线。</w:t>
      </w:r>
    </w:p>
    <w:p w14:paraId="4ED24C3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（7）清晰表达的各功能单元与公共区域之间的关系。</w:t>
      </w:r>
    </w:p>
    <w:p w14:paraId="62839FB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（8）以上内容的最终表达形式为色块图并整合为汇报文件（咨询深度则为文字意见）</w:t>
      </w:r>
    </w:p>
    <w:p w14:paraId="3D21CDFB">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第二阶段医疗工艺一级流程向医院管理层进行顶层汇报，进行政策层面和技术层面的深度交流，沟通项目医疗规划，论证顶层设计及建筑规划的科学性与合理性。</w:t>
      </w:r>
    </w:p>
    <w:p w14:paraId="2F3FCC4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与医院运营管理团队，共同完成的工作内容包含：</w:t>
      </w:r>
    </w:p>
    <w:p w14:paraId="3156A18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1、共同论证建筑方案与设计任务书的匹配度；</w:t>
      </w:r>
    </w:p>
    <w:p w14:paraId="124A084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2、共同论证医疗工艺一级流程功能单元的组团分布关系；</w:t>
      </w:r>
    </w:p>
    <w:p w14:paraId="7C6C3FE8">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3、共同论证并稳定医疗工艺一级流程设计的内容。</w:t>
      </w:r>
    </w:p>
    <w:p w14:paraId="20EF850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第三阶段设计成果编制。梳理医疗工艺一级流程设计的相关内容，建立报告框架，将复杂的内容图纸化，保证所有的信息来源都有依有据，并且可以为下一步深化作为支撑。</w:t>
      </w:r>
    </w:p>
    <w:p w14:paraId="7C7F747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工作内容及成果包含：</w:t>
      </w:r>
    </w:p>
    <w:p w14:paraId="4B0625B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1、医疗工艺一级流程设计说明</w:t>
      </w:r>
    </w:p>
    <w:p w14:paraId="3F657C7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需至少包含以下内容：</w:t>
      </w:r>
    </w:p>
    <w:p w14:paraId="04FDEB2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（1）项目概况说明</w:t>
      </w:r>
    </w:p>
    <w:p w14:paraId="2DD9EE49">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（2）项目定位与设计理念</w:t>
      </w:r>
    </w:p>
    <w:p w14:paraId="73C8DDD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（3）医疗工艺一级流程规划要点与理念分析</w:t>
      </w:r>
    </w:p>
    <w:p w14:paraId="3C18561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（4）医疗专项内容及形式说明</w:t>
      </w:r>
    </w:p>
    <w:p w14:paraId="63CBA5F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（5）设计依据/参考规范</w:t>
      </w:r>
    </w:p>
    <w:p w14:paraId="67DB5FA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2、一级流程竖向设计图</w:t>
      </w:r>
    </w:p>
    <w:p w14:paraId="47FF593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需体现功能单元出入口位置及名称，标明功能单元之间竖向设置关系与水平设置关系，及竖向交通组织关系等。</w:t>
      </w:r>
    </w:p>
    <w:p w14:paraId="039D597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3、一级流程平面设计图</w:t>
      </w:r>
    </w:p>
    <w:p w14:paraId="107A7A7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需标明各功能单元名称、所在楼层、范围轮廓、面积指标，明确竖向交通核心筒各类交通梯数量、类型及设置形式。</w:t>
      </w:r>
    </w:p>
    <w:p w14:paraId="01DE017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（二）医疗工艺二级流程设计阶段</w:t>
      </w:r>
    </w:p>
    <w:p w14:paraId="6D4AE70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医疗工艺二级流程设计工作流程：</w:t>
      </w:r>
    </w:p>
    <w:p w14:paraId="0BD3479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第一阶段根据与医院各个科室负责人的充分调研和沟通，确定各功能单元内部各功能房间的布置，各类医疗设备设施的布置，规划单元内医护人员工作流线、患者就诊流线、洁净物品运输流线、污染物品运输流线。在满足各项医疗规范与院感对医疗流程要求的前提下，开展内部功能规划。</w:t>
      </w:r>
    </w:p>
    <w:p w14:paraId="587AB48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工作内容包含：</w:t>
      </w:r>
    </w:p>
    <w:p w14:paraId="3D773AE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1、医疗工艺二级流程科室调研与沟通（可根据情况采取开展）</w:t>
      </w:r>
    </w:p>
    <w:p w14:paraId="1D4647EB">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（1）根据经过医院确认的一级流程成果文件，在各个功能单位的位置、面积和配置基本明确的前提下，对全院科室开展使用习惯及内部规划想法的调研与沟通。</w:t>
      </w:r>
    </w:p>
    <w:p w14:paraId="33E0AAC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（2）向各个科室介绍全院整体规划及该科室的规划情况，在一级流程稳定的基础上，了解各个科室的需求，开展医疗工艺二级流程设计咨询。</w:t>
      </w:r>
    </w:p>
    <w:p w14:paraId="38D68B21">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2、功能单元内部分区、动线组织</w:t>
      </w:r>
    </w:p>
    <w:p w14:paraId="5F3266D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（1）根据医院感染控制对不同科室的管理要求，开展功能单元内部功能分区设计咨询；</w:t>
      </w:r>
    </w:p>
    <w:p w14:paraId="4841975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（2）根据科室医疗行为开展的实际需求，开展各类人流、物流的动线组织与交通组织研究。</w:t>
      </w:r>
    </w:p>
    <w:p w14:paraId="14A3A20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3、功能单元内各类用房的关系统筹，面积与形态的设计；</w:t>
      </w:r>
    </w:p>
    <w:p w14:paraId="4397D292">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（1）根据科室医疗行为开展的需求，结合医疗工艺规划成果中《房间面积分配表》进行该功能单元与科室内的各类型功能用房的数量确定、组织布局、排布关系的统筹设计；</w:t>
      </w:r>
    </w:p>
    <w:p w14:paraId="4AAE571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（2）根据医疗工艺规划成果中《房间面积分配表》的相关尺寸与要求，设计确定该功能单元内各类型房间的面积与形态，以满足科室医疗行为的开展需求。</w:t>
      </w:r>
    </w:p>
    <w:p w14:paraId="0E53504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若缺少相关前期规划内容数据采集，或缺少前期规划与医疗工艺一级流程设计阶段工作，直接开展二级流程设计的，应在二级流程深化设计之前补充开展医院各功能单元/科室的重要医疗功能设置需求数据采集，可采用现场沟通调研或发放《科室调查表》的任何一种方式完成。</w:t>
      </w:r>
    </w:p>
    <w:p w14:paraId="30AE2DF4">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4、医疗工艺二级流程设计内容；</w:t>
      </w:r>
    </w:p>
    <w:p w14:paraId="1AFA803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（1）审核方案设计中各功能单元范围及功能单元区域面积；</w:t>
      </w:r>
    </w:p>
    <w:p w14:paraId="2F00551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（2）清晰表达功能单元内的动线。应包含医护动线、患者动线、洁净物品运输动线和污物运输动线；</w:t>
      </w:r>
    </w:p>
    <w:p w14:paraId="4D67CF8E">
      <w:pPr>
        <w:pStyle w:val="15"/>
        <w:spacing w:line="36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（3）清晰表达功能单元内的房型功能布局；</w:t>
      </w:r>
    </w:p>
    <w:p w14:paraId="61B02C1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第二阶段设计成果编制。梳理医疗工艺二级流程设计的相关内容，建立报告框架，将复杂的内容图纸化，保证所有的信息来源都有依有据，并且可以为下一步深化作为支撑。</w:t>
      </w:r>
    </w:p>
    <w:p w14:paraId="1490432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工作内容及成果包含：</w:t>
      </w:r>
    </w:p>
    <w:p w14:paraId="1B831F5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1、医疗工艺二级流程设计说明</w:t>
      </w:r>
    </w:p>
    <w:p w14:paraId="39A8D8E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需至少包含以下内容：</w:t>
      </w:r>
    </w:p>
    <w:p w14:paraId="399C20C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（1）项目概况说明</w:t>
      </w:r>
    </w:p>
    <w:p w14:paraId="3BF6BD6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（2）项目定位与设计理念</w:t>
      </w:r>
    </w:p>
    <w:p w14:paraId="4425F3C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（3）医疗科室规划要点/理念</w:t>
      </w:r>
    </w:p>
    <w:p w14:paraId="387EAFE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（4）医疗工艺规划重要指标</w:t>
      </w:r>
    </w:p>
    <w:p w14:paraId="77B7A01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（5）医疗专项内容及形式说明</w:t>
      </w:r>
    </w:p>
    <w:p w14:paraId="35EA71D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（6）设计依据/参考规范</w:t>
      </w:r>
    </w:p>
    <w:p w14:paraId="7A9AA226">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2、医疗工艺二级流程咨询</w:t>
      </w:r>
    </w:p>
    <w:p w14:paraId="1DBC2E0A">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审核方案设计中各功能单元范围及功能单元区域面积。</w:t>
      </w:r>
    </w:p>
    <w:p w14:paraId="18D5179B">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3、功能单元各类人群动线、洁污动线等。</w:t>
      </w:r>
    </w:p>
    <w:p w14:paraId="4C593427">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清晰标示患者动线、医务人员动线、洁净物资运输动线、污物运输动线、大型设备运输路线。</w:t>
      </w:r>
    </w:p>
    <w:p w14:paraId="0F350D8E">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4、功能单元内部分区示意图</w:t>
      </w:r>
    </w:p>
    <w:p w14:paraId="4AE24E1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医务/工作人员用房示意、医务/工作人员通道示意、患者用房示意、患者通道示意等。</w:t>
      </w:r>
    </w:p>
    <w:p w14:paraId="04887FFD">
      <w:pPr>
        <w:pStyle w:val="15"/>
        <w:spacing w:line="360" w:lineRule="exact"/>
        <w:ind w:firstLine="482" w:firstLineChars="200"/>
        <w:rPr>
          <w:rFonts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第三部分：医疗工艺条件设计阶段</w:t>
      </w:r>
    </w:p>
    <w:p w14:paraId="154BEC3F">
      <w:pPr>
        <w:pStyle w:val="15"/>
        <w:tabs>
          <w:tab w:val="left" w:pos="1920"/>
        </w:tabs>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医</w:t>
      </w:r>
      <w:r>
        <w:rPr>
          <w:rFonts w:hint="eastAsia" w:ascii="宋体" w:hAnsi="宋体" w:cs="宋体"/>
          <w:color w:val="000000" w:themeColor="text1"/>
          <w:kern w:val="2"/>
          <w:sz w:val="24"/>
          <w:szCs w:val="24"/>
          <w:highlight w:val="none"/>
          <w14:textFill>
            <w14:solidFill>
              <w14:schemeClr w14:val="tx1"/>
            </w14:solidFill>
          </w14:textFill>
        </w:rPr>
        <w:t>疗工艺条件设计阶段主要是指医疗工艺三级流程阶段，主要任务是确定技术指标，根据医疗行为指导各个功能房间的家具、设备的平面布置以及机电条件量化，提供满足医疗使用功能而需要的具体建设工程技术指标，作为建筑设计公司进行施工图设计、室内设计的参照，并与建筑设计单位的深化、完善过程提供同步咨询。</w:t>
      </w:r>
    </w:p>
    <w:p w14:paraId="204E6762">
      <w:pPr>
        <w:pStyle w:val="15"/>
        <w:tabs>
          <w:tab w:val="left" w:pos="1920"/>
        </w:tabs>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 各医疗功能单元典型房间内的平面点位示意图提资（数量约为</w:t>
      </w:r>
      <w:r>
        <w:rPr>
          <w:rFonts w:hint="eastAsia" w:ascii="宋体" w:hAnsi="宋体" w:cs="宋体"/>
          <w:color w:val="000000" w:themeColor="text1"/>
          <w:kern w:val="2"/>
          <w:sz w:val="24"/>
          <w:szCs w:val="24"/>
          <w:highlight w:val="none"/>
          <w:lang w:val="en-US" w:eastAsia="zh-CN"/>
          <w14:textFill>
            <w14:solidFill>
              <w14:schemeClr w14:val="tx1"/>
            </w14:solidFill>
          </w14:textFill>
        </w:rPr>
        <w:t>25</w:t>
      </w:r>
      <w:r>
        <w:rPr>
          <w:rFonts w:hint="eastAsia" w:ascii="宋体" w:hAnsi="宋体" w:cs="宋体"/>
          <w:color w:val="000000" w:themeColor="text1"/>
          <w:kern w:val="2"/>
          <w:sz w:val="24"/>
          <w:szCs w:val="24"/>
          <w:highlight w:val="none"/>
          <w14:textFill>
            <w14:solidFill>
              <w14:schemeClr w14:val="tx1"/>
            </w14:solidFill>
          </w14:textFill>
        </w:rPr>
        <w:t>个典型房间，具体房间由双方协商），包含：</w:t>
      </w:r>
    </w:p>
    <w:p w14:paraId="4D599163">
      <w:pPr>
        <w:pStyle w:val="15"/>
        <w:tabs>
          <w:tab w:val="left" w:pos="1920"/>
        </w:tabs>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（1）门急诊类功能房间及技术条件详图</w:t>
      </w:r>
    </w:p>
    <w:p w14:paraId="09CDB0A5">
      <w:pPr>
        <w:pStyle w:val="15"/>
        <w:tabs>
          <w:tab w:val="left" w:pos="1920"/>
        </w:tabs>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（2）住院类功能房间及技术条件详图</w:t>
      </w:r>
    </w:p>
    <w:p w14:paraId="52CAB587">
      <w:pPr>
        <w:pStyle w:val="15"/>
        <w:tabs>
          <w:tab w:val="left" w:pos="1920"/>
        </w:tabs>
        <w:spacing w:line="360" w:lineRule="exact"/>
        <w:ind w:firstLine="480" w:firstLineChars="200"/>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（3）医技类功能房间及技术条件详图</w:t>
      </w:r>
    </w:p>
    <w:p w14:paraId="69476F71">
      <w:pPr>
        <w:pStyle w:val="15"/>
        <w:tabs>
          <w:tab w:val="left" w:pos="1920"/>
        </w:tabs>
        <w:spacing w:line="360" w:lineRule="exact"/>
        <w:ind w:firstLine="480" w:firstLineChars="200"/>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（4）科研教学类</w:t>
      </w:r>
      <w:r>
        <w:rPr>
          <w:rFonts w:hint="eastAsia" w:ascii="宋体" w:hAnsi="宋体" w:cs="宋体"/>
          <w:color w:val="000000" w:themeColor="text1"/>
          <w:kern w:val="2"/>
          <w:sz w:val="24"/>
          <w:szCs w:val="24"/>
          <w:highlight w:val="none"/>
          <w14:textFill>
            <w14:solidFill>
              <w14:schemeClr w14:val="tx1"/>
            </w14:solidFill>
          </w14:textFill>
        </w:rPr>
        <w:t>功能房间及技术条件详图</w:t>
      </w:r>
    </w:p>
    <w:p w14:paraId="333F308D">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w:t>
      </w:r>
      <w:r>
        <w:rPr>
          <w:rFonts w:hint="eastAsia" w:ascii="宋体" w:hAnsi="宋体" w:cs="宋体"/>
          <w:color w:val="000000" w:themeColor="text1"/>
          <w:kern w:val="2"/>
          <w:sz w:val="24"/>
          <w:szCs w:val="24"/>
          <w:lang w:val="en-US" w:eastAsia="zh-CN"/>
          <w14:textFill>
            <w14:solidFill>
              <w14:schemeClr w14:val="tx1"/>
            </w14:solidFill>
          </w14:textFill>
        </w:rPr>
        <w:t>5</w:t>
      </w:r>
      <w:r>
        <w:rPr>
          <w:rFonts w:hint="eastAsia" w:ascii="宋体" w:hAnsi="宋体" w:cs="宋体"/>
          <w:color w:val="000000" w:themeColor="text1"/>
          <w:kern w:val="2"/>
          <w:sz w:val="24"/>
          <w:szCs w:val="24"/>
          <w14:textFill>
            <w14:solidFill>
              <w14:schemeClr w14:val="tx1"/>
            </w14:solidFill>
          </w14:textFill>
        </w:rPr>
        <w:t>）其他功能房间及技术条件详图</w:t>
      </w:r>
    </w:p>
    <w:p w14:paraId="0308E11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2、对初步设计图纸、建筑施工图、室内精装修施工图末端功能点位进行审核，并出具审查意见，必要时阶段性联合办公指导末端功能点位落图。</w:t>
      </w:r>
    </w:p>
    <w:p w14:paraId="3B3F457C">
      <w:pPr>
        <w:pStyle w:val="15"/>
        <w:spacing w:line="360" w:lineRule="exact"/>
        <w:ind w:firstLine="482" w:firstLineChars="200"/>
        <w:rPr>
          <w:rFonts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第四部分：与医疗工艺相关的其他咨询服务</w:t>
      </w:r>
    </w:p>
    <w:p w14:paraId="4B3FCFF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（一）配合设计阶段相关专题论证会</w:t>
      </w:r>
    </w:p>
    <w:p w14:paraId="0A70EF63">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1.从技术层面主导医疗工艺流程专题论证会的汇报和交流；</w:t>
      </w:r>
    </w:p>
    <w:p w14:paraId="6B41E2D0">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2.参与其他非医疗工艺为主体的论证会，涉及医疗工艺相关需要配合讨论答疑。</w:t>
      </w:r>
    </w:p>
    <w:p w14:paraId="05E56CC8">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（二）对建筑设计各阶段（方案设计、初步设计、施工图设计）及各专业的设计成果进行医疗工艺专业审查，并提供审查意见。</w:t>
      </w:r>
    </w:p>
    <w:p w14:paraId="7AFA36BC">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（三）医疗专项前期咨询</w:t>
      </w:r>
    </w:p>
    <w:p w14:paraId="0CCD31BF">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1.对设计各阶段各医疗专项进行基于医疗工艺的咨询，对专项区域设计成果进行工艺复核，确保专项成果满足医院需求；</w:t>
      </w:r>
    </w:p>
    <w:p w14:paraId="199994B5">
      <w:pPr>
        <w:pStyle w:val="15"/>
        <w:spacing w:line="360" w:lineRule="exact"/>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2.对物流系统、智能化系统等对造价影响较大的医疗专项在医疗工艺前期规划阶段配合业主明确需求；</w:t>
      </w:r>
    </w:p>
    <w:p w14:paraId="1171D3E7">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3.对物流系统、净化专业、医用气体等对面积指标有需求的医疗专项，需要在建筑方</w:t>
      </w:r>
      <w:r>
        <w:rPr>
          <w:rFonts w:hint="eastAsia" w:ascii="宋体" w:hAnsi="宋体" w:cs="宋体"/>
          <w:color w:val="000000" w:themeColor="text1"/>
          <w:kern w:val="2"/>
          <w:sz w:val="24"/>
          <w:szCs w:val="24"/>
          <w:highlight w:val="none"/>
          <w14:textFill>
            <w14:solidFill>
              <w14:schemeClr w14:val="tx1"/>
            </w14:solidFill>
          </w14:textFill>
        </w:rPr>
        <w:t>案阶段配合业主及设计单位做到专项的方案深度，供初步设计阶段介入的专项厂家深化专项区域图纸作参考。</w:t>
      </w:r>
    </w:p>
    <w:p w14:paraId="35B1BACF">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（四）医院筹备及开业管理</w:t>
      </w:r>
    </w:p>
    <w:p w14:paraId="0187ADD7">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1.施工现场医疗工艺督导</w:t>
      </w:r>
    </w:p>
    <w:p w14:paraId="4E5F1109">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通过在现场监督、检查及审定医疗工艺设计变更。</w:t>
      </w:r>
    </w:p>
    <w:p w14:paraId="01158F37">
      <w:pPr>
        <w:pStyle w:val="15"/>
        <w:spacing w:line="36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2.竣工验收/医疗工艺流程后评估</w:t>
      </w:r>
    </w:p>
    <w:p w14:paraId="3081FEFC">
      <w:pPr>
        <w:spacing w:line="3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在竣工验收阶段配合医疗工艺相关专业的验收，并根据医疗工艺设计实现程度和符合度，提供专业验收意见书，并形成评估报告 (或整改报告) ，作为开业前的医疗</w:t>
      </w:r>
      <w:r>
        <w:rPr>
          <w:rFonts w:hint="eastAsia" w:ascii="宋体" w:hAnsi="宋体" w:cs="宋体"/>
          <w:color w:val="000000" w:themeColor="text1"/>
          <w:sz w:val="24"/>
          <w:szCs w:val="24"/>
          <w:highlight w:val="none"/>
          <w14:textFill>
            <w14:solidFill>
              <w14:schemeClr w14:val="tx1"/>
            </w14:solidFill>
          </w14:textFill>
        </w:rPr>
        <w:t>工艺专业验收。</w:t>
      </w:r>
      <w:bookmarkEnd w:id="0"/>
      <w:r>
        <w:rPr>
          <w:snapToGrid w:val="0"/>
          <w:color w:val="000000" w:themeColor="text1"/>
          <w:szCs w:val="20"/>
          <w:highlight w:val="none"/>
          <w14:textFill>
            <w14:solidFill>
              <w14:schemeClr w14:val="tx1"/>
            </w14:solidFill>
          </w14:textFill>
        </w:rPr>
        <w:fldChar w:fldCharType="begin"/>
      </w:r>
      <w:r>
        <w:rPr>
          <w:snapToGrid w:val="0"/>
          <w:color w:val="000000" w:themeColor="text1"/>
          <w:szCs w:val="20"/>
          <w:highlight w:val="none"/>
          <w14:textFill>
            <w14:solidFill>
              <w14:schemeClr w14:val="tx1"/>
            </w14:solidFill>
          </w14:textFill>
        </w:rPr>
        <w:instrText xml:space="preserve"> </w:instrText>
      </w:r>
      <w:r>
        <w:rPr>
          <w:rFonts w:hint="eastAsia"/>
          <w:snapToGrid w:val="0"/>
          <w:color w:val="000000" w:themeColor="text1"/>
          <w:szCs w:val="20"/>
          <w:highlight w:val="none"/>
          <w14:textFill>
            <w14:solidFill>
              <w14:schemeClr w14:val="tx1"/>
            </w14:solidFill>
          </w14:textFill>
        </w:rPr>
        <w:instrText xml:space="preserve">AUTOTEXT  任务书 \* MERGEFORMAT</w:instrText>
      </w:r>
      <w:r>
        <w:rPr>
          <w:snapToGrid w:val="0"/>
          <w:color w:val="000000" w:themeColor="text1"/>
          <w:szCs w:val="20"/>
          <w:highlight w:val="none"/>
          <w14:textFill>
            <w14:solidFill>
              <w14:schemeClr w14:val="tx1"/>
            </w14:solidFill>
          </w14:textFill>
        </w:rPr>
        <w:instrText xml:space="preserve"> </w:instrText>
      </w:r>
      <w:r>
        <w:rPr>
          <w:snapToGrid w:val="0"/>
          <w:color w:val="000000" w:themeColor="text1"/>
          <w:szCs w:val="20"/>
          <w:highlight w:val="none"/>
          <w14:textFill>
            <w14:solidFill>
              <w14:schemeClr w14:val="tx1"/>
            </w14:solidFill>
          </w14:textFill>
        </w:rPr>
        <w:fldChar w:fldCharType="separate"/>
      </w:r>
      <w:r>
        <w:rPr>
          <w:snapToGrid w:val="0"/>
          <w:color w:val="000000" w:themeColor="text1"/>
          <w:szCs w:val="20"/>
          <w:highlight w:val="none"/>
          <w14:textFill>
            <w14:solidFill>
              <w14:schemeClr w14:val="tx1"/>
            </w14:solidFill>
          </w14:textFill>
        </w:rPr>
        <w:fldChar w:fldCharType="end"/>
      </w:r>
    </w:p>
    <w:p w14:paraId="52C85D0F">
      <w:pPr>
        <w:spacing w:line="400" w:lineRule="exact"/>
        <w:ind w:firstLine="482" w:firstLineChars="200"/>
        <w:rPr>
          <w:rFonts w:hint="default" w:ascii="宋体" w:hAnsi="宋体" w:eastAsia="宋体" w:cs="Times New Roman"/>
          <w:b/>
          <w:color w:val="auto"/>
          <w:sz w:val="24"/>
          <w:szCs w:val="24"/>
          <w:lang w:val="en-US" w:eastAsia="zh-CN"/>
        </w:rPr>
      </w:pPr>
      <w:r>
        <w:rPr>
          <w:rFonts w:hint="eastAsia" w:cs="Times New Roman"/>
          <w:b/>
          <w:color w:val="auto"/>
          <w:sz w:val="24"/>
          <w:szCs w:val="24"/>
          <w:lang w:val="en-US" w:eastAsia="zh-CN"/>
        </w:rPr>
        <w:t>三</w:t>
      </w:r>
      <w:r>
        <w:rPr>
          <w:rFonts w:hint="eastAsia" w:ascii="宋体" w:hAnsi="宋体" w:cs="Times New Roman"/>
          <w:b/>
          <w:color w:val="auto"/>
          <w:sz w:val="24"/>
          <w:szCs w:val="24"/>
        </w:rPr>
        <w:t>、</w:t>
      </w:r>
      <w:r>
        <w:rPr>
          <w:rFonts w:hint="eastAsia" w:cs="Times New Roman"/>
          <w:b/>
          <w:color w:val="auto"/>
          <w:sz w:val="24"/>
          <w:szCs w:val="24"/>
          <w:lang w:val="en-US" w:eastAsia="zh-CN"/>
        </w:rPr>
        <w:t>其他要求</w:t>
      </w:r>
    </w:p>
    <w:p w14:paraId="7C8D3EBC">
      <w:pPr>
        <w:numPr>
          <w:ilvl w:val="0"/>
          <w:numId w:val="1"/>
        </w:numPr>
        <w:spacing w:after="200" w:line="276" w:lineRule="auto"/>
        <w:ind w:left="420" w:leftChars="0" w:hanging="420" w:firstLineChars="0"/>
        <w:rPr>
          <w:rFonts w:hint="eastAsia" w:ascii="宋体" w:hAnsi="宋体" w:cs="Times New Roman"/>
          <w:color w:val="000000" w:themeColor="text1"/>
          <w:sz w:val="24"/>
          <w:szCs w:val="24"/>
          <w:highlight w:val="none"/>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报价</w:t>
      </w:r>
      <w:r>
        <w:rPr>
          <w:rFonts w:hint="eastAsia" w:ascii="宋体" w:hAnsi="宋体" w:cs="Times New Roman"/>
          <w:b/>
          <w:bCs/>
          <w:color w:val="000000" w:themeColor="text1"/>
          <w:sz w:val="24"/>
          <w:szCs w:val="24"/>
          <w14:textFill>
            <w14:solidFill>
              <w14:schemeClr w14:val="tx1"/>
            </w14:solidFill>
          </w14:textFill>
        </w:rPr>
        <w:t>咨询服务费是实现任务书要求咨询成果的全过程费用（包括但不限于为完成本项目咨询服务所发生的人工费、材料费、交通费、管理费、各阶</w:t>
      </w:r>
      <w:r>
        <w:rPr>
          <w:rFonts w:hint="eastAsia" w:ascii="宋体" w:hAnsi="宋体" w:cs="Times New Roman"/>
          <w:b/>
          <w:bCs/>
          <w:color w:val="000000" w:themeColor="text1"/>
          <w:sz w:val="24"/>
          <w:szCs w:val="24"/>
          <w:highlight w:val="none"/>
          <w14:textFill>
            <w14:solidFill>
              <w14:schemeClr w14:val="tx1"/>
            </w14:solidFill>
          </w14:textFill>
        </w:rPr>
        <w:t>段专家评审费、加班费、会务费、利润、现场服务费、税金等全部费用。除非双方另有约定，</w:t>
      </w:r>
      <w:r>
        <w:rPr>
          <w:rFonts w:hint="eastAsia" w:cs="Times New Roman"/>
          <w:b/>
          <w:bCs/>
          <w:color w:val="000000" w:themeColor="text1"/>
          <w:sz w:val="24"/>
          <w:szCs w:val="24"/>
          <w:highlight w:val="none"/>
          <w:lang w:eastAsia="zh-CN"/>
          <w14:textFill>
            <w14:solidFill>
              <w14:schemeClr w14:val="tx1"/>
            </w14:solidFill>
          </w14:textFill>
        </w:rPr>
        <w:t>医院</w:t>
      </w:r>
      <w:r>
        <w:rPr>
          <w:rFonts w:hint="eastAsia" w:ascii="宋体" w:hAnsi="宋体" w:cs="Times New Roman"/>
          <w:b/>
          <w:bCs/>
          <w:color w:val="000000" w:themeColor="text1"/>
          <w:sz w:val="24"/>
          <w:szCs w:val="24"/>
          <w:highlight w:val="none"/>
          <w14:textFill>
            <w14:solidFill>
              <w14:schemeClr w14:val="tx1"/>
            </w14:solidFill>
          </w14:textFill>
        </w:rPr>
        <w:t>无须向</w:t>
      </w:r>
      <w:r>
        <w:rPr>
          <w:rFonts w:hint="eastAsia" w:cs="Times New Roman"/>
          <w:b/>
          <w:bCs/>
          <w:color w:val="000000" w:themeColor="text1"/>
          <w:sz w:val="24"/>
          <w:szCs w:val="24"/>
          <w:highlight w:val="none"/>
          <w:lang w:eastAsia="zh-CN"/>
          <w14:textFill>
            <w14:solidFill>
              <w14:schemeClr w14:val="tx1"/>
            </w14:solidFill>
          </w14:textFill>
        </w:rPr>
        <w:t>提供服务方</w:t>
      </w:r>
      <w:r>
        <w:rPr>
          <w:rFonts w:hint="eastAsia" w:ascii="宋体" w:hAnsi="宋体" w:cs="Times New Roman"/>
          <w:b/>
          <w:bCs/>
          <w:color w:val="000000" w:themeColor="text1"/>
          <w:sz w:val="24"/>
          <w:szCs w:val="24"/>
          <w:highlight w:val="none"/>
          <w14:textFill>
            <w14:solidFill>
              <w14:schemeClr w14:val="tx1"/>
            </w14:solidFill>
          </w14:textFill>
        </w:rPr>
        <w:t>或第三方另行支付任何其他费用</w:t>
      </w:r>
      <w:r>
        <w:rPr>
          <w:rFonts w:hint="eastAsia" w:ascii="宋体" w:hAnsi="宋体" w:cs="Times New Roman"/>
          <w:color w:val="000000" w:themeColor="text1"/>
          <w:sz w:val="24"/>
          <w:szCs w:val="24"/>
          <w:highlight w:val="none"/>
          <w14:textFill>
            <w14:solidFill>
              <w14:schemeClr w14:val="tx1"/>
            </w14:solidFill>
          </w14:textFill>
        </w:rPr>
        <w:t>。</w:t>
      </w:r>
    </w:p>
    <w:p w14:paraId="46A0BAC9">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2179EB29">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3EC883C2">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0C71BCF5">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0B5D9AB6">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01C987D3">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61CF6ECD">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4D039D3D">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0D4347E4">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694D811B">
      <w:pPr>
        <w:pStyle w:val="16"/>
        <w:widowControl w:val="0"/>
        <w:spacing w:before="0" w:beforeAutospacing="0" w:after="0" w:afterAutospacing="0" w:line="360" w:lineRule="auto"/>
        <w:rPr>
          <w:snapToGrid w:val="0"/>
          <w:color w:val="000000" w:themeColor="text1"/>
          <w:szCs w:val="20"/>
          <w14:textFill>
            <w14:solidFill>
              <w14:schemeClr w14:val="tx1"/>
            </w14:solidFill>
          </w14:textFill>
        </w:rPr>
      </w:pPr>
    </w:p>
    <w:p w14:paraId="525BD698">
      <w:pPr>
        <w:pStyle w:val="2"/>
        <w:rPr>
          <w:rFonts w:hint="eastAsia"/>
        </w:rPr>
      </w:pPr>
    </w:p>
    <w:p w14:paraId="06FA71A9">
      <w:pPr>
        <w:rPr>
          <w:rFonts w:hint="eastAsia"/>
        </w:rPr>
      </w:pPr>
    </w:p>
    <w:p w14:paraId="231FD1DE">
      <w:pPr>
        <w:pStyle w:val="2"/>
        <w:rPr>
          <w:rFonts w:hint="eastAsia"/>
        </w:rPr>
      </w:pPr>
    </w:p>
    <w:p w14:paraId="32F72496">
      <w:pPr>
        <w:rPr>
          <w:rFonts w:hint="eastAsia"/>
        </w:rPr>
      </w:pPr>
    </w:p>
    <w:p w14:paraId="08C5471E">
      <w:pPr>
        <w:pStyle w:val="2"/>
        <w:rPr>
          <w:rFonts w:hint="eastAsia"/>
        </w:rPr>
      </w:pPr>
    </w:p>
    <w:p w14:paraId="5F0B8CC4">
      <w:pPr>
        <w:rPr>
          <w:rFonts w:hint="eastAsia"/>
        </w:rPr>
      </w:pPr>
    </w:p>
    <w:p w14:paraId="309F4F05">
      <w:pPr>
        <w:pStyle w:val="2"/>
        <w:rPr>
          <w:rFonts w:hint="eastAsia"/>
        </w:rPr>
      </w:pPr>
    </w:p>
    <w:p w14:paraId="6BF6B33B">
      <w:pPr>
        <w:rPr>
          <w:rFonts w:hint="eastAsia"/>
        </w:rPr>
      </w:pPr>
    </w:p>
    <w:p w14:paraId="0CD979AE">
      <w:pPr>
        <w:pStyle w:val="2"/>
        <w:rPr>
          <w:rFonts w:hint="eastAsia"/>
        </w:rPr>
      </w:pPr>
    </w:p>
    <w:p w14:paraId="34A7BA44">
      <w:pPr>
        <w:rPr>
          <w:rFonts w:hint="eastAsia"/>
        </w:rPr>
      </w:pPr>
    </w:p>
    <w:p w14:paraId="4748248D">
      <w:pPr>
        <w:pStyle w:val="2"/>
        <w:rPr>
          <w:rFonts w:hint="eastAsia"/>
        </w:rPr>
      </w:pPr>
    </w:p>
    <w:p w14:paraId="76806918">
      <w:pPr>
        <w:rPr>
          <w:rFonts w:hint="eastAsia"/>
        </w:rPr>
      </w:pPr>
    </w:p>
    <w:p w14:paraId="4D131DBB">
      <w:pPr>
        <w:pStyle w:val="2"/>
        <w:rPr>
          <w:rFonts w:hint="eastAsia"/>
        </w:rPr>
      </w:pPr>
    </w:p>
    <w:p w14:paraId="4C8C2EE9">
      <w:pPr>
        <w:rPr>
          <w:rFonts w:hint="eastAsia"/>
        </w:rPr>
      </w:pPr>
    </w:p>
    <w:p w14:paraId="12FC21A0">
      <w:pPr>
        <w:pStyle w:val="2"/>
        <w:rPr>
          <w:rFonts w:hint="eastAsia"/>
        </w:rPr>
      </w:pPr>
    </w:p>
    <w:p w14:paraId="583BBD43">
      <w:pPr>
        <w:rPr>
          <w:rFonts w:hint="eastAsia"/>
        </w:rPr>
      </w:pPr>
    </w:p>
    <w:p w14:paraId="4BB6EC13">
      <w:pPr>
        <w:pStyle w:val="2"/>
        <w:rPr>
          <w:rFonts w:hint="eastAsia"/>
        </w:rPr>
      </w:pPr>
    </w:p>
    <w:p w14:paraId="6D32B5DD">
      <w:pPr>
        <w:pStyle w:val="2"/>
      </w:pPr>
    </w:p>
    <w:sectPr>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C7F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66800">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D66800">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4579"/>
    <w:multiLevelType w:val="singleLevel"/>
    <w:tmpl w:val="BB07457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NDllODRlMDkwMjFkZTQ1ZDM5NDJkZjI1NmRiMzkifQ=="/>
  </w:docVars>
  <w:rsids>
    <w:rsidRoot w:val="008F6BF6"/>
    <w:rsid w:val="000A5255"/>
    <w:rsid w:val="000B5E31"/>
    <w:rsid w:val="001604DE"/>
    <w:rsid w:val="0019286D"/>
    <w:rsid w:val="001E0E2A"/>
    <w:rsid w:val="001E2590"/>
    <w:rsid w:val="00206D4B"/>
    <w:rsid w:val="003165FE"/>
    <w:rsid w:val="003F4639"/>
    <w:rsid w:val="004029A0"/>
    <w:rsid w:val="00415CB9"/>
    <w:rsid w:val="00496F89"/>
    <w:rsid w:val="004A1BE5"/>
    <w:rsid w:val="004E4133"/>
    <w:rsid w:val="004F1BB6"/>
    <w:rsid w:val="005220A0"/>
    <w:rsid w:val="00586550"/>
    <w:rsid w:val="005919AD"/>
    <w:rsid w:val="005E5E22"/>
    <w:rsid w:val="006859D1"/>
    <w:rsid w:val="006904E6"/>
    <w:rsid w:val="006F3BA8"/>
    <w:rsid w:val="00726B3F"/>
    <w:rsid w:val="0074112E"/>
    <w:rsid w:val="00745055"/>
    <w:rsid w:val="007F35EA"/>
    <w:rsid w:val="00837BA8"/>
    <w:rsid w:val="008C56E8"/>
    <w:rsid w:val="008C5FC8"/>
    <w:rsid w:val="008F6BF6"/>
    <w:rsid w:val="0091003D"/>
    <w:rsid w:val="00A4013F"/>
    <w:rsid w:val="00C05B22"/>
    <w:rsid w:val="00DF319D"/>
    <w:rsid w:val="00EC55D4"/>
    <w:rsid w:val="00EC6526"/>
    <w:rsid w:val="00F00C55"/>
    <w:rsid w:val="00F04A09"/>
    <w:rsid w:val="00F71EB5"/>
    <w:rsid w:val="00FD624F"/>
    <w:rsid w:val="00FF5D3D"/>
    <w:rsid w:val="029B6E53"/>
    <w:rsid w:val="038A44CE"/>
    <w:rsid w:val="0961115E"/>
    <w:rsid w:val="0AA015A8"/>
    <w:rsid w:val="0B451556"/>
    <w:rsid w:val="0E905389"/>
    <w:rsid w:val="0E9D1EF9"/>
    <w:rsid w:val="12C64289"/>
    <w:rsid w:val="14653122"/>
    <w:rsid w:val="173802DD"/>
    <w:rsid w:val="1AAB4490"/>
    <w:rsid w:val="1AF53117"/>
    <w:rsid w:val="1DD737EE"/>
    <w:rsid w:val="1EAB53E6"/>
    <w:rsid w:val="1F1B1816"/>
    <w:rsid w:val="22680BB4"/>
    <w:rsid w:val="235C4125"/>
    <w:rsid w:val="26895830"/>
    <w:rsid w:val="277A5916"/>
    <w:rsid w:val="277A5E30"/>
    <w:rsid w:val="28BA0C9D"/>
    <w:rsid w:val="2B5C6DC8"/>
    <w:rsid w:val="2C8E6106"/>
    <w:rsid w:val="351B1DBB"/>
    <w:rsid w:val="375C212B"/>
    <w:rsid w:val="387F6B81"/>
    <w:rsid w:val="38CA2FD5"/>
    <w:rsid w:val="3A252520"/>
    <w:rsid w:val="3F7A2500"/>
    <w:rsid w:val="4152035E"/>
    <w:rsid w:val="438E44A7"/>
    <w:rsid w:val="44737239"/>
    <w:rsid w:val="45515436"/>
    <w:rsid w:val="45913E2C"/>
    <w:rsid w:val="459D0641"/>
    <w:rsid w:val="468869C3"/>
    <w:rsid w:val="46CE4EDF"/>
    <w:rsid w:val="4B9F509C"/>
    <w:rsid w:val="4D4A6241"/>
    <w:rsid w:val="4EA86146"/>
    <w:rsid w:val="4F3078B6"/>
    <w:rsid w:val="616C5532"/>
    <w:rsid w:val="6C354F35"/>
    <w:rsid w:val="6E467AC5"/>
    <w:rsid w:val="6F45150C"/>
    <w:rsid w:val="72090452"/>
    <w:rsid w:val="72E910C6"/>
    <w:rsid w:val="7B9B71F5"/>
    <w:rsid w:val="7BD209F2"/>
    <w:rsid w:val="7C9B7489"/>
    <w:rsid w:val="7E8A6C21"/>
    <w:rsid w:val="7EAE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theme="minorBidi"/>
      <w:kern w:val="2"/>
      <w:sz w:val="24"/>
      <w:szCs w:val="22"/>
      <w:lang w:val="en-US" w:eastAsia="zh-CN" w:bidi="ar-SA"/>
    </w:rPr>
  </w:style>
  <w:style w:type="paragraph" w:styleId="3">
    <w:name w:val="heading 1"/>
    <w:basedOn w:val="1"/>
    <w:next w:val="1"/>
    <w:link w:val="12"/>
    <w:qFormat/>
    <w:uiPriority w:val="9"/>
    <w:pPr>
      <w:keepNext/>
      <w:keepLines/>
      <w:spacing w:line="240" w:lineRule="atLeast"/>
      <w:ind w:firstLine="200" w:firstLineChars="200"/>
      <w:outlineLvl w:val="0"/>
    </w:pPr>
    <w:rPr>
      <w:b/>
      <w:bCs/>
      <w:kern w:val="44"/>
      <w:sz w:val="32"/>
      <w:szCs w:val="44"/>
    </w:rPr>
  </w:style>
  <w:style w:type="paragraph" w:styleId="4">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ind w:left="210"/>
      <w:jc w:val="left"/>
    </w:pPr>
    <w:rPr>
      <w:smallCaps/>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style>
  <w:style w:type="character" w:styleId="10">
    <w:name w:val="Strong"/>
    <w:basedOn w:val="9"/>
    <w:qFormat/>
    <w:uiPriority w:val="0"/>
    <w:rPr>
      <w:b/>
    </w:rPr>
  </w:style>
  <w:style w:type="character" w:styleId="11">
    <w:name w:val="annotation reference"/>
    <w:unhideWhenUsed/>
    <w:qFormat/>
    <w:uiPriority w:val="0"/>
    <w:rPr>
      <w:sz w:val="21"/>
      <w:szCs w:val="21"/>
    </w:rPr>
  </w:style>
  <w:style w:type="character" w:customStyle="1" w:styleId="12">
    <w:name w:val="标题 1 Char"/>
    <w:basedOn w:val="9"/>
    <w:link w:val="3"/>
    <w:qFormat/>
    <w:uiPriority w:val="9"/>
    <w:rPr>
      <w:rFonts w:ascii="宋体" w:eastAsia="宋体"/>
      <w:b/>
      <w:bCs/>
      <w:kern w:val="44"/>
      <w:sz w:val="32"/>
      <w:szCs w:val="44"/>
    </w:rPr>
  </w:style>
  <w:style w:type="paragraph" w:styleId="13">
    <w:name w:val="List Paragraph"/>
    <w:basedOn w:val="1"/>
    <w:qFormat/>
    <w:uiPriority w:val="34"/>
    <w:pPr>
      <w:ind w:firstLine="420" w:firstLineChars="200"/>
    </w:pPr>
    <w:rPr>
      <w:rFonts w:asciiTheme="minorHAnsi" w:eastAsiaTheme="minorEastAsia"/>
      <w:sz w:val="21"/>
    </w:rPr>
  </w:style>
  <w:style w:type="character" w:customStyle="1" w:styleId="14">
    <w:name w:val="标题 2 Char"/>
    <w:basedOn w:val="9"/>
    <w:link w:val="4"/>
    <w:semiHidden/>
    <w:qFormat/>
    <w:uiPriority w:val="9"/>
    <w:rPr>
      <w:rFonts w:asciiTheme="majorHAnsi" w:hAnsiTheme="majorHAnsi" w:eastAsiaTheme="majorEastAsia" w:cstheme="majorBidi"/>
      <w:b/>
      <w:bCs/>
      <w:kern w:val="2"/>
      <w:sz w:val="32"/>
      <w:szCs w:val="32"/>
    </w:rPr>
  </w:style>
  <w:style w:type="paragraph" w:customStyle="1" w:styleId="15">
    <w:name w:val="Normal_1_0"/>
    <w:qFormat/>
    <w:uiPriority w:val="0"/>
    <w:pPr>
      <w:widowControl w:val="0"/>
      <w:jc w:val="both"/>
    </w:pPr>
    <w:rPr>
      <w:rFonts w:ascii="Times New Roman" w:hAnsi="Times New Roman" w:eastAsia="宋体" w:cs="Times New Roman"/>
      <w:sz w:val="21"/>
      <w:lang w:val="en-US" w:eastAsia="zh-CN" w:bidi="ar-SA"/>
    </w:rPr>
  </w:style>
  <w:style w:type="paragraph" w:customStyle="1" w:styleId="16">
    <w:name w:val="style9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5984</Words>
  <Characters>6046</Characters>
  <Lines>74</Lines>
  <Paragraphs>21</Paragraphs>
  <TotalTime>3</TotalTime>
  <ScaleCrop>false</ScaleCrop>
  <LinksUpToDate>false</LinksUpToDate>
  <CharactersWithSpaces>6058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2022-12-23T15:03:00Z</dcterms:created>
  <dc:creator>GZ-15151565</dc:creator>
  <cp:lastModifiedBy>星月锁</cp:lastModifiedBy>
  <dcterms:modified xsi:type="dcterms:W3CDTF">2025-03-06T06:46:26Z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E841FE6D67A841D1A80CDB37406B7902</vt:lpwstr>
  </property>
  <property fmtid="{D5CDD505-2E9C-101B-9397-08002B2CF9AE}" pid="4" name="KSOTemplateDocerSaveRecord">
    <vt:lpwstr>eyJoZGlkIjoiNDhkYzI1OTMwNjViMGIwNTc4NWM3OTJkMTBiMjAxMTgiLCJ1c2VySWQiOiIzNDE1ODU3NzcifQ==</vt:lpwstr>
  </property>
</Properties>
</file>