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CB7DF9">
      <w:pPr>
        <w:jc w:val="center"/>
        <w:rPr>
          <w:rFonts w:ascii="仿宋_GB2312" w:hAnsi="宋体" w:eastAsia="仿宋_GB2312"/>
          <w:b/>
          <w:sz w:val="32"/>
          <w:szCs w:val="32"/>
        </w:rPr>
      </w:pPr>
      <w:r>
        <w:rPr>
          <w:rFonts w:hint="eastAsia" w:ascii="仿宋_GB2312" w:hAnsi="宋体" w:eastAsia="仿宋_GB2312"/>
          <w:b/>
          <w:sz w:val="32"/>
          <w:szCs w:val="32"/>
        </w:rPr>
        <w:t>南方医科大学深圳口腔医院（坪山）</w:t>
      </w:r>
    </w:p>
    <w:p w14:paraId="1394E780">
      <w:pPr>
        <w:jc w:val="center"/>
        <w:rPr>
          <w:rFonts w:ascii="仿宋_GB2312" w:hAnsi="宋体" w:eastAsia="仿宋_GB2312"/>
          <w:b/>
          <w:sz w:val="32"/>
          <w:szCs w:val="32"/>
        </w:rPr>
      </w:pPr>
      <w:r>
        <w:rPr>
          <w:rFonts w:hint="eastAsia" w:ascii="仿宋_GB2312" w:hAnsi="宋体" w:eastAsia="仿宋_GB2312"/>
          <w:b/>
          <w:sz w:val="32"/>
          <w:szCs w:val="32"/>
        </w:rPr>
        <w:t>网络安全服务项目建设需求</w:t>
      </w:r>
    </w:p>
    <w:p w14:paraId="5FACC62C">
      <w:pPr>
        <w:jc w:val="center"/>
        <w:rPr>
          <w:rFonts w:ascii="仿宋_GB2312" w:hAnsi="宋体" w:eastAsia="仿宋_GB2312"/>
          <w:b/>
          <w:sz w:val="32"/>
          <w:szCs w:val="32"/>
        </w:rPr>
      </w:pPr>
      <w:r>
        <w:rPr>
          <w:rFonts w:hint="eastAsia" w:ascii="仿宋_GB2312" w:hAnsi="宋体" w:eastAsia="仿宋_GB2312"/>
          <w:b/>
          <w:sz w:val="32"/>
          <w:szCs w:val="32"/>
        </w:rPr>
        <w:t>（项目编号：</w:t>
      </w:r>
      <w:r>
        <w:rPr>
          <w:rFonts w:ascii="仿宋_GB2312" w:hAnsi="宋体" w:eastAsia="仿宋_GB2312"/>
          <w:b/>
          <w:sz w:val="32"/>
          <w:szCs w:val="32"/>
        </w:rPr>
        <w:t>NFYKDSZKQ-XXH-WLAQFW-202</w:t>
      </w:r>
      <w:r>
        <w:rPr>
          <w:rFonts w:hint="eastAsia" w:ascii="仿宋_GB2312" w:hAnsi="宋体" w:eastAsia="仿宋_GB2312"/>
          <w:b/>
          <w:sz w:val="32"/>
          <w:szCs w:val="32"/>
        </w:rPr>
        <w:t>3</w:t>
      </w:r>
      <w:r>
        <w:rPr>
          <w:rFonts w:ascii="仿宋_GB2312" w:hAnsi="宋体" w:eastAsia="仿宋_GB2312"/>
          <w:b/>
          <w:sz w:val="32"/>
          <w:szCs w:val="32"/>
        </w:rPr>
        <w:t>0201</w:t>
      </w:r>
      <w:r>
        <w:rPr>
          <w:rFonts w:hint="eastAsia" w:ascii="仿宋_GB2312" w:hAnsi="宋体" w:eastAsia="仿宋_GB2312"/>
          <w:b/>
          <w:sz w:val="32"/>
          <w:szCs w:val="32"/>
        </w:rPr>
        <w:t>001）</w:t>
      </w:r>
    </w:p>
    <w:tbl>
      <w:tblPr>
        <w:tblStyle w:val="12"/>
        <w:tblW w:w="10490" w:type="dxa"/>
        <w:jc w:val="center"/>
        <w:tblCellSpacing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15" w:type="dxa"/>
          <w:left w:w="15" w:type="dxa"/>
          <w:bottom w:w="15" w:type="dxa"/>
          <w:right w:w="15" w:type="dxa"/>
        </w:tblCellMar>
      </w:tblPr>
      <w:tblGrid>
        <w:gridCol w:w="917"/>
        <w:gridCol w:w="5414"/>
        <w:gridCol w:w="2133"/>
        <w:gridCol w:w="2026"/>
      </w:tblGrid>
      <w:tr w14:paraId="2DE3B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023B649F">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项目名称</w:t>
            </w:r>
            <w:r>
              <w:rPr>
                <w:rFonts w:ascii="宋体" w:hAnsi="宋体" w:eastAsia="宋体" w:cs="宋体"/>
                <w:kern w:val="0"/>
                <w:sz w:val="20"/>
                <w:szCs w:val="20"/>
              </w:rPr>
              <w:t xml:space="preserve"> </w:t>
            </w:r>
          </w:p>
        </w:tc>
        <w:tc>
          <w:tcPr>
            <w:tcW w:w="5414" w:type="dxa"/>
            <w:vAlign w:val="center"/>
          </w:tcPr>
          <w:p w14:paraId="3B8FEB0C">
            <w:pPr>
              <w:jc w:val="center"/>
              <w:rPr>
                <w:rFonts w:ascii="宋体" w:hAnsi="宋体" w:eastAsia="宋体" w:cs="宋体"/>
                <w:kern w:val="0"/>
                <w:sz w:val="20"/>
                <w:szCs w:val="20"/>
              </w:rPr>
            </w:pPr>
            <w:r>
              <w:rPr>
                <w:rFonts w:hint="eastAsia" w:ascii="宋体" w:hAnsi="宋体" w:eastAsia="宋体" w:cs="宋体"/>
                <w:kern w:val="0"/>
                <w:sz w:val="20"/>
                <w:szCs w:val="20"/>
              </w:rPr>
              <w:t>南山医科大学深圳口腔医院（坪山）2023网络安全服务项目</w:t>
            </w:r>
          </w:p>
        </w:tc>
        <w:tc>
          <w:tcPr>
            <w:tcW w:w="2133" w:type="dxa"/>
            <w:vAlign w:val="center"/>
          </w:tcPr>
          <w:p w14:paraId="1B39098D">
            <w:pPr>
              <w:widowControl/>
              <w:spacing w:before="100" w:beforeAutospacing="1" w:after="100" w:afterAutospacing="1"/>
              <w:jc w:val="center"/>
              <w:rPr>
                <w:rFonts w:ascii="宋体" w:hAnsi="宋体" w:eastAsia="宋体" w:cs="宋体"/>
                <w:kern w:val="0"/>
                <w:sz w:val="20"/>
                <w:szCs w:val="20"/>
              </w:rPr>
            </w:pPr>
            <w:r>
              <w:rPr>
                <w:rFonts w:ascii="宋体" w:hAnsi="宋体" w:eastAsia="宋体" w:cs="宋体"/>
                <w:b/>
                <w:bCs/>
                <w:kern w:val="0"/>
                <w:sz w:val="20"/>
                <w:szCs w:val="20"/>
              </w:rPr>
              <w:t>是否预选项目</w:t>
            </w:r>
          </w:p>
        </w:tc>
        <w:tc>
          <w:tcPr>
            <w:tcW w:w="2026" w:type="dxa"/>
            <w:vAlign w:val="center"/>
          </w:tcPr>
          <w:p w14:paraId="763016B3">
            <w:pPr>
              <w:widowControl/>
              <w:jc w:val="left"/>
              <w:rPr>
                <w:rFonts w:ascii="宋体" w:hAnsi="宋体" w:eastAsia="宋体" w:cs="宋体"/>
                <w:kern w:val="0"/>
                <w:sz w:val="20"/>
                <w:szCs w:val="20"/>
              </w:rPr>
            </w:pPr>
            <w:r>
              <w:rPr>
                <w:rFonts w:hint="eastAsia" w:ascii="宋体" w:hAnsi="宋体" w:eastAsia="宋体" w:cs="宋体"/>
                <w:kern w:val="0"/>
                <w:sz w:val="20"/>
                <w:szCs w:val="20"/>
              </w:rPr>
              <w:t>否</w:t>
            </w:r>
          </w:p>
        </w:tc>
      </w:tr>
      <w:tr w14:paraId="233B7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151E55F1">
            <w:pPr>
              <w:widowControl/>
              <w:spacing w:before="100" w:beforeAutospacing="1" w:after="100" w:afterAutospacing="1"/>
              <w:jc w:val="center"/>
              <w:rPr>
                <w:rFonts w:ascii="宋体" w:hAnsi="宋体" w:eastAsia="宋体" w:cs="宋体"/>
                <w:kern w:val="0"/>
                <w:sz w:val="20"/>
                <w:szCs w:val="20"/>
              </w:rPr>
            </w:pPr>
            <w:r>
              <w:rPr>
                <w:rFonts w:ascii="宋体" w:hAnsi="宋体" w:eastAsia="宋体" w:cs="宋体"/>
                <w:b/>
                <w:bCs/>
                <w:kern w:val="0"/>
                <w:sz w:val="20"/>
                <w:szCs w:val="20"/>
              </w:rPr>
              <w:t>预算限额（元）</w:t>
            </w:r>
          </w:p>
        </w:tc>
        <w:tc>
          <w:tcPr>
            <w:tcW w:w="9573" w:type="dxa"/>
            <w:gridSpan w:val="3"/>
            <w:vAlign w:val="center"/>
          </w:tcPr>
          <w:p w14:paraId="47D3CBBA">
            <w:pPr>
              <w:widowControl/>
              <w:ind w:firstLine="220" w:firstLineChars="110"/>
              <w:jc w:val="left"/>
              <w:rPr>
                <w:rFonts w:ascii="宋体" w:hAnsi="宋体" w:eastAsia="宋体" w:cs="宋体"/>
                <w:kern w:val="0"/>
                <w:sz w:val="20"/>
                <w:szCs w:val="20"/>
              </w:rPr>
            </w:pPr>
            <w:r>
              <w:rPr>
                <w:rFonts w:hint="eastAsia" w:ascii="宋体" w:hAnsi="宋体" w:eastAsia="宋体" w:cs="宋体"/>
                <w:kern w:val="0"/>
                <w:sz w:val="20"/>
                <w:szCs w:val="20"/>
              </w:rPr>
              <w:t>市场调研后确定。</w:t>
            </w:r>
          </w:p>
        </w:tc>
      </w:tr>
      <w:tr w14:paraId="1BDA8E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3C0B5FDE">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项目背景</w:t>
            </w:r>
            <w:r>
              <w:rPr>
                <w:rFonts w:ascii="宋体" w:hAnsi="宋体" w:eastAsia="宋体" w:cs="宋体"/>
                <w:kern w:val="0"/>
                <w:sz w:val="20"/>
                <w:szCs w:val="20"/>
              </w:rPr>
              <w:t xml:space="preserve"> </w:t>
            </w:r>
          </w:p>
        </w:tc>
        <w:tc>
          <w:tcPr>
            <w:tcW w:w="9573" w:type="dxa"/>
            <w:gridSpan w:val="3"/>
            <w:vAlign w:val="center"/>
          </w:tcPr>
          <w:p w14:paraId="1B69A34A">
            <w:pPr>
              <w:spacing w:line="276" w:lineRule="auto"/>
              <w:ind w:firstLine="420" w:firstLineChars="200"/>
              <w:rPr>
                <w:rFonts w:ascii="宋体" w:hAnsi="宋体" w:eastAsia="宋体" w:cs="Times New Roman"/>
              </w:rPr>
            </w:pPr>
            <w:r>
              <w:rPr>
                <w:rFonts w:hint="eastAsia" w:ascii="宋体" w:hAnsi="宋体" w:eastAsia="宋体" w:cs="Times New Roman"/>
              </w:rPr>
              <w:t>我院经2020年网络安全建设后，已初步建立了相对完整网络安全体系，具备了一定的网络安全管理基础和技术防护手段，但随着业务导向的大数据、互联网+创新利用的提出以及《网络安全法》、《中华人民共和国个人信息保护法》、《数据安全法》、《深圳经济特区数据条例》、网络安全等级保护、网络安全联合大检查等国家和地方的法律法规以及相关要求的出台和不断强化，对医院的网络安全建设提出了更高的要求。</w:t>
            </w:r>
          </w:p>
          <w:p w14:paraId="3EAA06FB">
            <w:pPr>
              <w:spacing w:line="276" w:lineRule="auto"/>
              <w:ind w:firstLine="420" w:firstLineChars="200"/>
              <w:rPr>
                <w:rFonts w:ascii="宋体" w:hAnsi="宋体" w:eastAsia="宋体"/>
              </w:rPr>
            </w:pPr>
            <w:r>
              <w:rPr>
                <w:rFonts w:hint="eastAsia" w:ascii="宋体" w:hAnsi="宋体" w:eastAsia="宋体" w:cs="Times New Roman"/>
              </w:rPr>
              <w:t>根据《中华人民共和国网络安全法》、《中华人民共和国数据安全法》、《中华人民共和国个人信息保护法》、《深圳经济特区数据条例》、《信息安全技术</w:t>
            </w:r>
            <w:bookmarkStart w:id="0" w:name="_GoBack"/>
            <w:bookmarkEnd w:id="0"/>
            <w:r>
              <w:rPr>
                <w:rFonts w:hint="eastAsia" w:ascii="宋体" w:hAnsi="宋体" w:eastAsia="宋体" w:cs="Times New Roman"/>
              </w:rPr>
              <w:t>网络安全等级保护基本要求》、《口腔医院等级评审标准与实施细则》、市卫生健康委《网络安全工作要点》和《网络安全等级保护测评报告整改意见》等文件要求，针对南方医科大学深圳口腔医院（坪山）网络、网站、安全设备、服务器及应用系统、业务系统，做好全年常态化及重要时期网络安全保障工作，重点防护影响系统稳定安全运行的安全事件的发生，并提供安全事故应急响应技术保障，根据国家标准进一步完善医院的网络安全管理体系，进一步提升医院的网络安全防护能力。</w:t>
            </w:r>
          </w:p>
        </w:tc>
      </w:tr>
      <w:tr w14:paraId="5BE557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2A958FE9">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b/>
                <w:bCs/>
                <w:kern w:val="0"/>
                <w:sz w:val="20"/>
                <w:szCs w:val="20"/>
              </w:rPr>
              <w:t>参与市场调研企业的</w:t>
            </w:r>
            <w:r>
              <w:rPr>
                <w:rFonts w:ascii="宋体" w:hAnsi="宋体" w:eastAsia="宋体" w:cs="宋体"/>
                <w:b/>
                <w:bCs/>
                <w:kern w:val="0"/>
                <w:sz w:val="20"/>
                <w:szCs w:val="20"/>
              </w:rPr>
              <w:t>资质要求</w:t>
            </w:r>
            <w:r>
              <w:rPr>
                <w:rFonts w:hint="eastAsia" w:ascii="宋体" w:hAnsi="宋体" w:eastAsia="宋体" w:cs="宋体"/>
                <w:b/>
                <w:bCs/>
                <w:kern w:val="0"/>
                <w:sz w:val="20"/>
                <w:szCs w:val="20"/>
              </w:rPr>
              <w:t>及其他说明</w:t>
            </w:r>
            <w:r>
              <w:rPr>
                <w:rFonts w:ascii="宋体" w:hAnsi="宋体" w:eastAsia="宋体" w:cs="宋体"/>
                <w:kern w:val="0"/>
                <w:sz w:val="20"/>
                <w:szCs w:val="20"/>
              </w:rPr>
              <w:t xml:space="preserve"> </w:t>
            </w:r>
          </w:p>
        </w:tc>
        <w:tc>
          <w:tcPr>
            <w:tcW w:w="9573" w:type="dxa"/>
            <w:gridSpan w:val="3"/>
            <w:vAlign w:val="center"/>
          </w:tcPr>
          <w:p w14:paraId="46BEA19B">
            <w:pPr>
              <w:widowControl/>
              <w:spacing w:line="276" w:lineRule="auto"/>
              <w:ind w:firstLine="428" w:firstLineChars="214"/>
              <w:jc w:val="left"/>
              <w:rPr>
                <w:rFonts w:ascii="宋体" w:hAnsi="宋体" w:eastAsia="宋体" w:cs="宋体"/>
                <w:kern w:val="0"/>
                <w:sz w:val="20"/>
                <w:szCs w:val="20"/>
              </w:rPr>
            </w:pPr>
            <w:r>
              <w:rPr>
                <w:rFonts w:hint="eastAsia" w:ascii="宋体" w:hAnsi="宋体" w:eastAsia="宋体" w:cs="宋体"/>
                <w:kern w:val="0"/>
                <w:sz w:val="20"/>
                <w:szCs w:val="20"/>
              </w:rPr>
              <w:t>1）</w:t>
            </w:r>
            <w:r>
              <w:rPr>
                <w:rFonts w:hint="eastAsia" w:ascii="宋体" w:hAnsi="宋体" w:eastAsia="宋体" w:cs="宋体"/>
                <w:kern w:val="0"/>
                <w:sz w:val="20"/>
                <w:szCs w:val="20"/>
              </w:rPr>
              <w:tab/>
            </w:r>
            <w:r>
              <w:rPr>
                <w:rFonts w:hint="eastAsia" w:ascii="宋体" w:hAnsi="宋体" w:eastAsia="宋体" w:cs="宋体"/>
                <w:kern w:val="0"/>
                <w:sz w:val="20"/>
                <w:szCs w:val="20"/>
              </w:rPr>
              <w:t>具有独立法人资格（提供合法有效的营业执照原件扫描件）；</w:t>
            </w:r>
          </w:p>
          <w:p w14:paraId="383C6129">
            <w:pPr>
              <w:widowControl/>
              <w:spacing w:line="276" w:lineRule="auto"/>
              <w:ind w:firstLine="428" w:firstLineChars="214"/>
              <w:jc w:val="left"/>
              <w:rPr>
                <w:rFonts w:ascii="宋体" w:hAnsi="宋体" w:eastAsia="宋体"/>
              </w:rPr>
            </w:pPr>
            <w:r>
              <w:rPr>
                <w:rFonts w:hint="eastAsia" w:ascii="宋体" w:hAnsi="宋体" w:eastAsia="宋体" w:cs="宋体"/>
                <w:kern w:val="0"/>
                <w:sz w:val="20"/>
                <w:szCs w:val="20"/>
              </w:rPr>
              <w:t>2）</w:t>
            </w:r>
            <w:r>
              <w:rPr>
                <w:rFonts w:hint="eastAsia" w:ascii="宋体" w:hAnsi="宋体" w:eastAsia="宋体" w:cs="宋体"/>
                <w:kern w:val="0"/>
                <w:sz w:val="20"/>
                <w:szCs w:val="20"/>
              </w:rPr>
              <w:tab/>
            </w:r>
            <w:r>
              <w:rPr>
                <w:rFonts w:hint="eastAsia" w:ascii="宋体" w:hAnsi="宋体" w:eastAsia="宋体" w:cs="宋体"/>
                <w:kern w:val="0"/>
                <w:sz w:val="20"/>
                <w:szCs w:val="20"/>
              </w:rPr>
              <w:t>参与本项目市场调研的供应商近三年内无行贿犯罪记录（由采购中心定期向市人民检察院申请对政府采购供应商库中注册有效的供应商</w:t>
            </w:r>
            <w:r>
              <w:rPr>
                <w:rFonts w:hint="eastAsia" w:ascii="宋体" w:hAnsi="宋体" w:eastAsia="宋体"/>
              </w:rPr>
              <w:t>进行集中查询，提供的市场调研文件中无需提供证明材料）；</w:t>
            </w:r>
          </w:p>
          <w:p w14:paraId="1009CC6B">
            <w:pPr>
              <w:widowControl/>
              <w:spacing w:line="276" w:lineRule="auto"/>
              <w:ind w:firstLine="449" w:firstLineChars="214"/>
              <w:jc w:val="left"/>
              <w:rPr>
                <w:rFonts w:ascii="宋体" w:hAnsi="宋体" w:eastAsia="宋体" w:cs="宋体"/>
                <w:kern w:val="0"/>
                <w:sz w:val="20"/>
                <w:szCs w:val="20"/>
              </w:rPr>
            </w:pPr>
            <w:r>
              <w:rPr>
                <w:rFonts w:hint="eastAsia" w:ascii="宋体" w:hAnsi="宋体" w:eastAsia="宋体"/>
              </w:rPr>
              <w:t>3）参与本项目市场调研的供应商未被列入“信用中国”网站(www.creditchina.gov.cn)以下情形之一：（1）记录失信被执行人；（2）重大税收违法案件当事人名单；同时，在中国政府采购网(www.ccgp.gov.cn)“政府采购严重违法失信行为信息记录”中查询没有处于禁止参加政</w:t>
            </w:r>
            <w:r>
              <w:rPr>
                <w:rFonts w:hint="eastAsia" w:ascii="宋体" w:hAnsi="宋体" w:eastAsia="宋体" w:cs="宋体"/>
                <w:kern w:val="0"/>
                <w:sz w:val="20"/>
                <w:szCs w:val="20"/>
              </w:rPr>
              <w:t>府采购活动的记录名单。</w:t>
            </w:r>
          </w:p>
          <w:p w14:paraId="7F6835D0">
            <w:pPr>
              <w:widowControl/>
              <w:spacing w:line="276" w:lineRule="auto"/>
              <w:ind w:firstLine="428" w:firstLineChars="214"/>
              <w:jc w:val="left"/>
              <w:rPr>
                <w:rFonts w:cs="仿宋_GB2312" w:asciiTheme="minorEastAsia" w:hAnsiTheme="minorEastAsia"/>
                <w:bCs/>
                <w:sz w:val="24"/>
                <w:szCs w:val="24"/>
              </w:rPr>
            </w:pPr>
            <w:r>
              <w:rPr>
                <w:rFonts w:hint="eastAsia" w:ascii="宋体" w:hAnsi="宋体" w:eastAsia="宋体" w:cs="宋体"/>
                <w:kern w:val="0"/>
                <w:sz w:val="20"/>
                <w:szCs w:val="20"/>
              </w:rPr>
              <w:t>4）本项目不接受联合体参与市场调研,不允许分包和转包。</w:t>
            </w:r>
          </w:p>
        </w:tc>
      </w:tr>
      <w:tr w14:paraId="107494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084E9233">
            <w:pPr>
              <w:widowControl/>
              <w:spacing w:before="100" w:beforeAutospacing="1" w:after="100" w:afterAutospacing="1"/>
              <w:jc w:val="left"/>
              <w:rPr>
                <w:rFonts w:ascii="宋体" w:hAnsi="宋体" w:eastAsia="宋体" w:cs="宋体"/>
                <w:kern w:val="0"/>
                <w:sz w:val="20"/>
                <w:szCs w:val="20"/>
              </w:rPr>
            </w:pPr>
            <w:r>
              <w:rPr>
                <w:rFonts w:hint="eastAsia" w:ascii="宋体" w:hAnsi="宋体" w:eastAsia="宋体" w:cs="宋体"/>
                <w:b/>
                <w:bCs/>
                <w:kern w:val="0"/>
                <w:sz w:val="20"/>
                <w:szCs w:val="20"/>
              </w:rPr>
              <w:t>服务</w:t>
            </w:r>
            <w:r>
              <w:rPr>
                <w:rFonts w:ascii="宋体" w:hAnsi="宋体" w:eastAsia="宋体" w:cs="宋体"/>
                <w:b/>
                <w:bCs/>
                <w:kern w:val="0"/>
                <w:sz w:val="20"/>
                <w:szCs w:val="20"/>
              </w:rPr>
              <w:t>清单</w:t>
            </w:r>
            <w:r>
              <w:rPr>
                <w:rFonts w:ascii="宋体" w:hAnsi="宋体" w:eastAsia="宋体" w:cs="宋体"/>
                <w:kern w:val="0"/>
                <w:sz w:val="20"/>
                <w:szCs w:val="20"/>
              </w:rPr>
              <w:t xml:space="preserve"> </w:t>
            </w:r>
          </w:p>
        </w:tc>
        <w:tc>
          <w:tcPr>
            <w:tcW w:w="9573" w:type="dxa"/>
            <w:gridSpan w:val="3"/>
            <w:vAlign w:val="center"/>
          </w:tcPr>
          <w:tbl>
            <w:tblPr>
              <w:tblStyle w:val="12"/>
              <w:tblW w:w="9498" w:type="dxa"/>
              <w:tblInd w:w="0" w:type="dxa"/>
              <w:tblLayout w:type="autofit"/>
              <w:tblCellMar>
                <w:top w:w="0" w:type="dxa"/>
                <w:left w:w="108" w:type="dxa"/>
                <w:bottom w:w="0" w:type="dxa"/>
                <w:right w:w="108" w:type="dxa"/>
              </w:tblCellMar>
            </w:tblPr>
            <w:tblGrid>
              <w:gridCol w:w="707"/>
              <w:gridCol w:w="1134"/>
              <w:gridCol w:w="4538"/>
              <w:gridCol w:w="1132"/>
              <w:gridCol w:w="1987"/>
            </w:tblGrid>
            <w:tr w14:paraId="7FC4CBC8">
              <w:tblPrEx>
                <w:tblCellMar>
                  <w:top w:w="0" w:type="dxa"/>
                  <w:left w:w="108" w:type="dxa"/>
                  <w:bottom w:w="0" w:type="dxa"/>
                  <w:right w:w="108" w:type="dxa"/>
                </w:tblCellMar>
              </w:tblPrEx>
              <w:trPr>
                <w:trHeight w:val="247"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6620">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序号</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9AAEB">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服务项</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FCA5">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服务简述</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316F28C6">
                  <w:pPr>
                    <w:widowControl/>
                    <w:jc w:val="center"/>
                    <w:textAlignment w:val="center"/>
                    <w:rPr>
                      <w:rFonts w:ascii="宋体" w:hAnsi="宋体" w:eastAsia="宋体" w:cs="宋体"/>
                      <w:b/>
                      <w:bCs/>
                      <w:szCs w:val="21"/>
                    </w:rPr>
                  </w:pPr>
                  <w:r>
                    <w:rPr>
                      <w:rFonts w:hint="eastAsia" w:ascii="宋体" w:hAnsi="宋体" w:eastAsia="宋体" w:cs="宋体"/>
                      <w:b/>
                      <w:bCs/>
                      <w:kern w:val="0"/>
                      <w:szCs w:val="21"/>
                      <w:lang w:bidi="ar"/>
                    </w:rPr>
                    <w:t>频率与范围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107BFDD0">
                  <w:pPr>
                    <w:widowControl/>
                    <w:jc w:val="center"/>
                    <w:textAlignment w:val="center"/>
                    <w:rPr>
                      <w:rFonts w:ascii="宋体" w:hAnsi="宋体" w:eastAsia="宋体" w:cs="宋体"/>
                      <w:b/>
                      <w:bCs/>
                      <w:szCs w:val="21"/>
                    </w:rPr>
                  </w:pPr>
                  <w:r>
                    <w:rPr>
                      <w:rFonts w:hint="eastAsia" w:ascii="宋体" w:hAnsi="宋体" w:eastAsia="宋体" w:cs="宋体"/>
                      <w:b/>
                      <w:bCs/>
                      <w:szCs w:val="21"/>
                    </w:rPr>
                    <w:t>具体要求</w:t>
                  </w:r>
                </w:p>
              </w:tc>
            </w:tr>
            <w:tr w14:paraId="77D238F1">
              <w:tblPrEx>
                <w:tblCellMar>
                  <w:top w:w="0" w:type="dxa"/>
                  <w:left w:w="108" w:type="dxa"/>
                  <w:bottom w:w="0" w:type="dxa"/>
                  <w:right w:w="108" w:type="dxa"/>
                </w:tblCellMar>
              </w:tblPrEx>
              <w:trPr>
                <w:trHeight w:val="486"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AB2D7">
                  <w:pPr>
                    <w:widowControl/>
                    <w:jc w:val="center"/>
                    <w:textAlignment w:val="center"/>
                    <w:rPr>
                      <w:rFonts w:ascii="宋体" w:hAnsi="宋体" w:eastAsia="宋体" w:cs="宋体"/>
                      <w:szCs w:val="21"/>
                    </w:rPr>
                  </w:pPr>
                  <w:r>
                    <w:rPr>
                      <w:rFonts w:hint="eastAsia" w:ascii="宋体" w:hAnsi="宋体" w:eastAsia="宋体" w:cs="宋体"/>
                      <w:kern w:val="0"/>
                      <w:szCs w:val="21"/>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BAD42">
                  <w:pPr>
                    <w:widowControl/>
                    <w:jc w:val="center"/>
                    <w:textAlignment w:val="center"/>
                    <w:rPr>
                      <w:rFonts w:ascii="宋体" w:hAnsi="宋体" w:eastAsia="宋体" w:cs="宋体"/>
                      <w:szCs w:val="21"/>
                    </w:rPr>
                  </w:pPr>
                  <w:r>
                    <w:rPr>
                      <w:rFonts w:hint="eastAsia" w:ascii="宋体" w:hAnsi="宋体" w:eastAsia="宋体" w:cs="宋体"/>
                      <w:kern w:val="0"/>
                      <w:szCs w:val="21"/>
                      <w:lang w:bidi="ar"/>
                    </w:rPr>
                    <w:t>等级保护测评</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29DF0">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针对医院二级业务系统进行等级测评，做好系统定级备案、等保差距自测评、等保整改工作,</w:t>
                  </w:r>
                  <w:r>
                    <w:rPr>
                      <w:rFonts w:hint="eastAsia"/>
                    </w:rPr>
                    <w:t xml:space="preserve"> </w:t>
                  </w:r>
                  <w:r>
                    <w:rPr>
                      <w:rFonts w:hint="eastAsia" w:ascii="宋体" w:hAnsi="宋体" w:eastAsia="宋体" w:cs="宋体"/>
                      <w:kern w:val="0"/>
                      <w:szCs w:val="21"/>
                      <w:lang w:bidi="ar"/>
                    </w:rPr>
                    <w:t>对系统进行安全测评，提交《网络安全等级测评报告》，并将报告提交至监管部门,并输出整改建议报告。</w:t>
                  </w:r>
                </w:p>
              </w:tc>
              <w:tc>
                <w:tcPr>
                  <w:tcW w:w="1132" w:type="dxa"/>
                  <w:tcBorders>
                    <w:top w:val="nil"/>
                    <w:left w:val="single" w:color="000000" w:sz="4" w:space="0"/>
                    <w:bottom w:val="single" w:color="000000" w:sz="4" w:space="0"/>
                    <w:right w:val="single" w:color="auto" w:sz="4" w:space="0"/>
                  </w:tcBorders>
                  <w:shd w:val="clear" w:color="auto" w:fill="auto"/>
                  <w:vAlign w:val="center"/>
                </w:tcPr>
                <w:p w14:paraId="5E21B54F">
                  <w:pPr>
                    <w:widowControl/>
                    <w:jc w:val="center"/>
                    <w:textAlignment w:val="center"/>
                    <w:rPr>
                      <w:rFonts w:ascii="宋体" w:hAnsi="宋体" w:eastAsia="宋体" w:cs="宋体"/>
                      <w:szCs w:val="21"/>
                    </w:rPr>
                  </w:pPr>
                  <w:r>
                    <w:rPr>
                      <w:rFonts w:hint="eastAsia" w:ascii="宋体" w:hAnsi="宋体" w:eastAsia="宋体" w:cs="宋体"/>
                      <w:kern w:val="0"/>
                      <w:szCs w:val="21"/>
                      <w:lang w:bidi="ar"/>
                    </w:rPr>
                    <w:t>3个</w:t>
                  </w:r>
                </w:p>
              </w:tc>
              <w:tc>
                <w:tcPr>
                  <w:tcW w:w="1987" w:type="dxa"/>
                  <w:tcBorders>
                    <w:top w:val="nil"/>
                    <w:left w:val="single" w:color="auto" w:sz="4" w:space="0"/>
                    <w:bottom w:val="single" w:color="000000" w:sz="4" w:space="0"/>
                    <w:right w:val="single" w:color="000000" w:sz="4" w:space="0"/>
                  </w:tcBorders>
                  <w:shd w:val="clear" w:color="auto" w:fill="auto"/>
                  <w:vAlign w:val="center"/>
                </w:tcPr>
                <w:p w14:paraId="4E358F95">
                  <w:pPr>
                    <w:widowControl/>
                    <w:jc w:val="center"/>
                    <w:textAlignment w:val="center"/>
                    <w:rPr>
                      <w:rFonts w:ascii="宋体" w:hAnsi="宋体" w:eastAsia="宋体" w:cs="宋体"/>
                      <w:szCs w:val="21"/>
                    </w:rPr>
                  </w:pPr>
                </w:p>
              </w:tc>
            </w:tr>
            <w:tr w14:paraId="422BA0A1">
              <w:tblPrEx>
                <w:tblCellMar>
                  <w:top w:w="0" w:type="dxa"/>
                  <w:left w:w="108" w:type="dxa"/>
                  <w:bottom w:w="0" w:type="dxa"/>
                  <w:right w:w="108" w:type="dxa"/>
                </w:tblCellMar>
              </w:tblPrEx>
              <w:trPr>
                <w:trHeight w:val="120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F7261">
                  <w:pPr>
                    <w:widowControl/>
                    <w:jc w:val="center"/>
                    <w:textAlignment w:val="center"/>
                    <w:rPr>
                      <w:rFonts w:ascii="宋体" w:hAnsi="宋体" w:eastAsia="宋体" w:cs="宋体"/>
                      <w:szCs w:val="21"/>
                    </w:rPr>
                  </w:pPr>
                  <w:r>
                    <w:rPr>
                      <w:rFonts w:hint="eastAsia" w:ascii="宋体" w:hAnsi="宋体" w:eastAsia="宋体" w:cs="宋体"/>
                      <w:kern w:val="0"/>
                      <w:szCs w:val="21"/>
                      <w:lang w:bidi="ar"/>
                    </w:rPr>
                    <w:t>2</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E4C1">
                  <w:pPr>
                    <w:widowControl/>
                    <w:jc w:val="left"/>
                    <w:textAlignment w:val="center"/>
                    <w:rPr>
                      <w:rFonts w:ascii="宋体" w:hAnsi="宋体" w:eastAsia="宋体" w:cs="宋体"/>
                      <w:szCs w:val="21"/>
                    </w:rPr>
                  </w:pPr>
                  <w:r>
                    <w:rPr>
                      <w:rFonts w:hint="eastAsia" w:ascii="宋体" w:hAnsi="宋体" w:eastAsia="宋体" w:cs="宋体"/>
                      <w:kern w:val="0"/>
                      <w:szCs w:val="21"/>
                      <w:lang w:bidi="ar"/>
                    </w:rPr>
                    <w:t>资产梳理（含接入网部网络的医疗设备）</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A112">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针对医院所有生产系统及网络设备、安全设备、终端和移动终端、存储设备、应用系统，利用工具扫描资产，建立台账,通过对现有的网络环境进行资产分类，了解目前的安全现状以及薄弱性。梳理核心资产与边缘资产，核心资产重点防护，建立资产防护基线。对所有对外资产进行探测，梳理出各业务系统的资产信息，关闭对外暴露的多余端口。从而医院能更清晰明了知晓自身资产信息情况。</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7EBF0B06">
                  <w:pPr>
                    <w:widowControl/>
                    <w:jc w:val="center"/>
                    <w:textAlignment w:val="center"/>
                    <w:rPr>
                      <w:rFonts w:ascii="宋体" w:hAnsi="宋体" w:eastAsia="宋体" w:cs="宋体"/>
                      <w:szCs w:val="21"/>
                    </w:rPr>
                  </w:pPr>
                  <w:r>
                    <w:rPr>
                      <w:rFonts w:hint="eastAsia" w:ascii="宋体" w:hAnsi="宋体" w:eastAsia="宋体" w:cs="宋体"/>
                      <w:kern w:val="0"/>
                      <w:szCs w:val="21"/>
                      <w:lang w:bidi="ar"/>
                    </w:rPr>
                    <w:t>2次/年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216DD12">
                  <w:pPr>
                    <w:widowControl/>
                    <w:jc w:val="left"/>
                    <w:textAlignment w:val="center"/>
                    <w:rPr>
                      <w:rFonts w:ascii="宋体" w:hAnsi="宋体" w:eastAsia="宋体" w:cs="宋体"/>
                      <w:szCs w:val="21"/>
                    </w:rPr>
                  </w:pPr>
                  <w:r>
                    <w:rPr>
                      <w:rFonts w:hint="eastAsia" w:ascii="宋体" w:hAnsi="宋体" w:eastAsia="宋体" w:cs="宋体"/>
                      <w:szCs w:val="21"/>
                    </w:rPr>
                    <w:t>要求输出详细的资产信息，包括但不限于资产信息表、资产分布图等等</w:t>
                  </w:r>
                </w:p>
              </w:tc>
            </w:tr>
            <w:tr w14:paraId="4EF6F227">
              <w:tblPrEx>
                <w:tblCellMar>
                  <w:top w:w="0" w:type="dxa"/>
                  <w:left w:w="108" w:type="dxa"/>
                  <w:bottom w:w="0" w:type="dxa"/>
                  <w:right w:w="108" w:type="dxa"/>
                </w:tblCellMar>
              </w:tblPrEx>
              <w:trPr>
                <w:trHeight w:val="244"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16F6">
                  <w:pPr>
                    <w:widowControl/>
                    <w:jc w:val="center"/>
                    <w:textAlignment w:val="center"/>
                    <w:rPr>
                      <w:rFonts w:ascii="宋体" w:hAnsi="宋体" w:eastAsia="宋体" w:cs="宋体"/>
                      <w:szCs w:val="21"/>
                    </w:rPr>
                  </w:pPr>
                  <w:r>
                    <w:rPr>
                      <w:rFonts w:hint="eastAsia" w:ascii="宋体" w:hAnsi="宋体" w:eastAsia="宋体" w:cs="宋体"/>
                      <w:kern w:val="0"/>
                      <w:szCs w:val="21"/>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9702">
                  <w:pPr>
                    <w:widowControl/>
                    <w:jc w:val="left"/>
                    <w:textAlignment w:val="center"/>
                    <w:rPr>
                      <w:rFonts w:ascii="宋体" w:hAnsi="宋体" w:eastAsia="宋体" w:cs="宋体"/>
                      <w:szCs w:val="21"/>
                    </w:rPr>
                  </w:pPr>
                  <w:r>
                    <w:rPr>
                      <w:rFonts w:hint="eastAsia" w:ascii="宋体" w:hAnsi="宋体" w:eastAsia="宋体" w:cs="宋体"/>
                      <w:kern w:val="0"/>
                      <w:szCs w:val="21"/>
                      <w:lang w:bidi="ar"/>
                    </w:rPr>
                    <w:t>风险评估</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180B">
                  <w:pPr>
                    <w:widowControl/>
                    <w:jc w:val="left"/>
                    <w:textAlignment w:val="center"/>
                    <w:rPr>
                      <w:rFonts w:ascii="宋体" w:hAnsi="宋体" w:eastAsia="宋体" w:cs="宋体"/>
                      <w:szCs w:val="21"/>
                    </w:rPr>
                  </w:pPr>
                  <w:r>
                    <w:rPr>
                      <w:rFonts w:hint="eastAsia" w:ascii="宋体" w:hAnsi="宋体" w:eastAsia="宋体" w:cs="宋体"/>
                      <w:kern w:val="0"/>
                      <w:szCs w:val="21"/>
                      <w:lang w:bidi="ar"/>
                    </w:rPr>
                    <w:t>根据ISO27000标准及信息安全风险评估指南，制定风险评估策略，对现有安全技术措施应对网络安全威胁的有效性、安全配置与安全策略的一致性、安全管理制度的执行情况等全院系统进行综合全面的风险评估，包含但不限于：脆弱性评估：通过web扫描，漏洞扫描、基线检查、漏洞验证等手段，识别业务系统安全脆弱性风险。根据安全评估结果分析系统安全风险和威胁，给出针对性的风险处理方案。减少医院业务系统安全风险。</w:t>
                  </w:r>
                  <w:r>
                    <w:rPr>
                      <w:rFonts w:ascii="宋体" w:hAnsi="宋体" w:eastAsia="宋体" w:cs="宋体"/>
                      <w:szCs w:val="21"/>
                    </w:rPr>
                    <w:t xml:space="preserve"> </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41B842A0">
                  <w:pPr>
                    <w:widowControl/>
                    <w:jc w:val="center"/>
                    <w:textAlignment w:val="center"/>
                    <w:rPr>
                      <w:rFonts w:ascii="宋体" w:hAnsi="宋体" w:eastAsia="宋体" w:cs="宋体"/>
                      <w:szCs w:val="21"/>
                    </w:rPr>
                  </w:pPr>
                  <w:r>
                    <w:rPr>
                      <w:rFonts w:hint="eastAsia" w:ascii="宋体" w:hAnsi="宋体" w:eastAsia="宋体" w:cs="宋体"/>
                      <w:kern w:val="0"/>
                      <w:szCs w:val="21"/>
                      <w:lang w:bidi="ar"/>
                    </w:rPr>
                    <w:t>2次/年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4E0CBCA">
                  <w:pPr>
                    <w:widowControl/>
                    <w:jc w:val="left"/>
                    <w:textAlignment w:val="center"/>
                    <w:rPr>
                      <w:rFonts w:ascii="宋体" w:hAnsi="宋体" w:eastAsia="宋体" w:cs="宋体"/>
                      <w:szCs w:val="21"/>
                    </w:rPr>
                  </w:pPr>
                  <w:r>
                    <w:rPr>
                      <w:rFonts w:hint="eastAsia" w:ascii="宋体" w:hAnsi="宋体" w:eastAsia="宋体" w:cs="宋体"/>
                      <w:szCs w:val="21"/>
                    </w:rPr>
                    <w:t>要求输出详细的风险评估报告，报告需盖章并附相关安全资质</w:t>
                  </w:r>
                </w:p>
              </w:tc>
            </w:tr>
            <w:tr w14:paraId="3CF6109A">
              <w:tblPrEx>
                <w:tblCellMar>
                  <w:top w:w="0" w:type="dxa"/>
                  <w:left w:w="108" w:type="dxa"/>
                  <w:bottom w:w="0" w:type="dxa"/>
                  <w:right w:w="108" w:type="dxa"/>
                </w:tblCellMar>
              </w:tblPrEx>
              <w:trPr>
                <w:trHeight w:val="23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49FFA">
                  <w:pPr>
                    <w:widowControl/>
                    <w:jc w:val="center"/>
                    <w:textAlignment w:val="center"/>
                    <w:rPr>
                      <w:rFonts w:ascii="宋体" w:hAnsi="宋体" w:eastAsia="宋体" w:cs="宋体"/>
                      <w:szCs w:val="21"/>
                    </w:rPr>
                  </w:pPr>
                  <w:r>
                    <w:rPr>
                      <w:rFonts w:hint="eastAsia" w:ascii="宋体" w:hAnsi="宋体" w:eastAsia="宋体" w:cs="宋体"/>
                      <w:kern w:val="0"/>
                      <w:szCs w:val="21"/>
                      <w:lang w:bidi="ar"/>
                    </w:rPr>
                    <w:t>4</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A238C">
                  <w:pPr>
                    <w:widowControl/>
                    <w:jc w:val="left"/>
                    <w:textAlignment w:val="center"/>
                    <w:rPr>
                      <w:rFonts w:ascii="宋体" w:hAnsi="宋体" w:eastAsia="宋体" w:cs="宋体"/>
                      <w:szCs w:val="21"/>
                    </w:rPr>
                  </w:pPr>
                  <w:r>
                    <w:rPr>
                      <w:rFonts w:hint="eastAsia" w:ascii="宋体" w:hAnsi="宋体" w:eastAsia="宋体" w:cs="宋体"/>
                      <w:kern w:val="0"/>
                      <w:szCs w:val="21"/>
                      <w:lang w:bidi="ar"/>
                    </w:rPr>
                    <w:t>漏洞管理及加固</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270BA">
                  <w:pPr>
                    <w:widowControl/>
                    <w:jc w:val="left"/>
                    <w:textAlignment w:val="center"/>
                    <w:rPr>
                      <w:rFonts w:ascii="宋体" w:hAnsi="宋体" w:eastAsia="宋体" w:cs="宋体"/>
                      <w:szCs w:val="21"/>
                    </w:rPr>
                  </w:pPr>
                  <w:r>
                    <w:rPr>
                      <w:rFonts w:hint="eastAsia" w:ascii="宋体" w:hAnsi="宋体" w:eastAsia="宋体" w:cs="宋体"/>
                      <w:kern w:val="0"/>
                      <w:szCs w:val="21"/>
                      <w:lang w:bidi="ar"/>
                    </w:rPr>
                    <w:t>根据医院网络安全现状，定期扫描医院全院系统真实的漏洞信息以及紧急漏洞信息，针对漏洞扫描、渗透测试、风险评估日常安服运维中发现的系统和安全设备漏洞，出具切实可行的漏洞整改方式、说明漏洞利用方法、危害、影响面；并对漏洞整改及加固情况进行统计、跟踪、协助加固及复测，协助医院信息技术人员将漏洞风险降低到最小化。输出《漏洞分析与整改报告》《漏洞处置情况报告》、《安全加固后系统安全评估报告》，每半年一次。服务范围：全院信息资产。</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0A0B5243">
                  <w:pPr>
                    <w:widowControl/>
                    <w:jc w:val="center"/>
                    <w:textAlignment w:val="center"/>
                    <w:rPr>
                      <w:rFonts w:ascii="宋体" w:hAnsi="宋体" w:eastAsia="宋体" w:cs="宋体"/>
                      <w:szCs w:val="21"/>
                    </w:rPr>
                  </w:pPr>
                  <w:r>
                    <w:rPr>
                      <w:rFonts w:hint="eastAsia" w:ascii="宋体" w:hAnsi="宋体" w:eastAsia="宋体" w:cs="宋体"/>
                      <w:kern w:val="0"/>
                      <w:szCs w:val="21"/>
                      <w:lang w:bidi="ar"/>
                    </w:rPr>
                    <w:t>2次/年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6F5F7AC7">
                  <w:pPr>
                    <w:widowControl/>
                    <w:jc w:val="left"/>
                    <w:textAlignment w:val="center"/>
                    <w:rPr>
                      <w:rFonts w:ascii="宋体" w:hAnsi="宋体" w:eastAsia="宋体" w:cs="宋体"/>
                      <w:szCs w:val="21"/>
                    </w:rPr>
                  </w:pPr>
                  <w:r>
                    <w:rPr>
                      <w:rFonts w:hint="eastAsia" w:ascii="宋体" w:hAnsi="宋体" w:eastAsia="宋体" w:cs="宋体"/>
                      <w:szCs w:val="21"/>
                    </w:rPr>
                    <w:t>输出漏洞管理台账，包含但不限于卫健委发布的漏洞告警、网信机构发布的预警等，并落实漏洞的升级工作。</w:t>
                  </w:r>
                </w:p>
              </w:tc>
            </w:tr>
            <w:tr w14:paraId="45ACA118">
              <w:tblPrEx>
                <w:tblCellMar>
                  <w:top w:w="0" w:type="dxa"/>
                  <w:left w:w="108" w:type="dxa"/>
                  <w:bottom w:w="0" w:type="dxa"/>
                  <w:right w:w="108" w:type="dxa"/>
                </w:tblCellMar>
              </w:tblPrEx>
              <w:trPr>
                <w:trHeight w:val="120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7C02F">
                  <w:pPr>
                    <w:widowControl/>
                    <w:jc w:val="center"/>
                    <w:textAlignment w:val="center"/>
                    <w:rPr>
                      <w:rFonts w:ascii="宋体" w:hAnsi="宋体" w:eastAsia="宋体" w:cs="宋体"/>
                      <w:szCs w:val="21"/>
                    </w:rPr>
                  </w:pPr>
                  <w:r>
                    <w:rPr>
                      <w:rFonts w:hint="eastAsia" w:ascii="宋体" w:hAnsi="宋体" w:eastAsia="宋体" w:cs="宋体"/>
                      <w:kern w:val="0"/>
                      <w:szCs w:val="21"/>
                      <w:lang w:bidi="ar"/>
                    </w:rPr>
                    <w:t>5</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958E">
                  <w:pPr>
                    <w:widowControl/>
                    <w:jc w:val="left"/>
                    <w:textAlignment w:val="center"/>
                    <w:rPr>
                      <w:rFonts w:ascii="宋体" w:hAnsi="宋体" w:eastAsia="宋体" w:cs="宋体"/>
                      <w:szCs w:val="21"/>
                    </w:rPr>
                  </w:pPr>
                  <w:r>
                    <w:rPr>
                      <w:rFonts w:hint="eastAsia" w:ascii="宋体" w:hAnsi="宋体" w:eastAsia="宋体" w:cs="宋体"/>
                      <w:kern w:val="0"/>
                      <w:szCs w:val="21"/>
                      <w:lang w:bidi="ar"/>
                    </w:rPr>
                    <w:t>渗透测试</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A3130">
                  <w:pPr>
                    <w:widowControl/>
                    <w:jc w:val="left"/>
                    <w:textAlignment w:val="center"/>
                    <w:rPr>
                      <w:rFonts w:ascii="宋体" w:hAnsi="宋体" w:eastAsia="宋体" w:cs="宋体"/>
                      <w:szCs w:val="21"/>
                    </w:rPr>
                  </w:pPr>
                  <w:r>
                    <w:rPr>
                      <w:rFonts w:hint="eastAsia" w:ascii="宋体" w:hAnsi="宋体" w:eastAsia="宋体" w:cs="宋体"/>
                      <w:kern w:val="0"/>
                      <w:szCs w:val="21"/>
                      <w:lang w:bidi="ar"/>
                    </w:rPr>
                    <w:t>专业的深度渗透测试服务，针对暴露在互联网的全院重要信息资产，如web应用系统、服务器、数据库所存在的漏洞进行安全评估。通过安全专家对评估的系统进行模拟黑客攻击测试，最大限度的发现系统漏洞风险。测试包含渗透测试、安全复查、安全加固建议。从而减少医院核心业务系统漏洞风险。</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072DFF05">
                  <w:pPr>
                    <w:widowControl/>
                    <w:jc w:val="center"/>
                    <w:textAlignment w:val="center"/>
                    <w:rPr>
                      <w:rFonts w:ascii="宋体" w:hAnsi="宋体" w:eastAsia="宋体" w:cs="宋体"/>
                      <w:szCs w:val="21"/>
                    </w:rPr>
                  </w:pPr>
                  <w:r>
                    <w:rPr>
                      <w:rFonts w:hint="eastAsia" w:ascii="宋体" w:hAnsi="宋体" w:eastAsia="宋体" w:cs="宋体"/>
                      <w:kern w:val="0"/>
                      <w:szCs w:val="21"/>
                      <w:lang w:bidi="ar"/>
                    </w:rPr>
                    <w:t>1次/年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0A9D0A9B">
                  <w:pPr>
                    <w:widowControl/>
                    <w:jc w:val="left"/>
                    <w:textAlignment w:val="center"/>
                    <w:rPr>
                      <w:rFonts w:ascii="宋体" w:hAnsi="宋体" w:eastAsia="宋体" w:cs="宋体"/>
                      <w:szCs w:val="21"/>
                    </w:rPr>
                  </w:pPr>
                  <w:r>
                    <w:rPr>
                      <w:rFonts w:hint="eastAsia" w:ascii="宋体" w:hAnsi="宋体" w:eastAsia="宋体" w:cs="宋体"/>
                      <w:szCs w:val="21"/>
                    </w:rPr>
                    <w:t>输出详细的渗透测试报告，明确整改的措施和修复验证，报告需盖章并附相关安全资质</w:t>
                  </w:r>
                </w:p>
              </w:tc>
            </w:tr>
            <w:tr w14:paraId="1DAC864C">
              <w:tblPrEx>
                <w:tblCellMar>
                  <w:top w:w="0" w:type="dxa"/>
                  <w:left w:w="108" w:type="dxa"/>
                  <w:bottom w:w="0" w:type="dxa"/>
                  <w:right w:w="108" w:type="dxa"/>
                </w:tblCellMar>
              </w:tblPrEx>
              <w:trPr>
                <w:trHeight w:val="1202"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CE5D2">
                  <w:pPr>
                    <w:widowControl/>
                    <w:jc w:val="center"/>
                    <w:textAlignment w:val="center"/>
                    <w:rPr>
                      <w:rFonts w:ascii="宋体" w:hAnsi="宋体" w:eastAsia="宋体" w:cs="宋体"/>
                      <w:szCs w:val="21"/>
                    </w:rPr>
                  </w:pPr>
                  <w:r>
                    <w:rPr>
                      <w:rFonts w:hint="eastAsia" w:ascii="宋体" w:hAnsi="宋体" w:eastAsia="宋体" w:cs="宋体"/>
                      <w:kern w:val="0"/>
                      <w:szCs w:val="21"/>
                      <w:lang w:bidi="ar"/>
                    </w:rPr>
                    <w:t>6</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9636F">
                  <w:pPr>
                    <w:widowControl/>
                    <w:jc w:val="left"/>
                    <w:textAlignment w:val="center"/>
                    <w:rPr>
                      <w:rFonts w:ascii="宋体" w:hAnsi="宋体" w:eastAsia="宋体" w:cs="宋体"/>
                      <w:szCs w:val="21"/>
                    </w:rPr>
                  </w:pPr>
                  <w:r>
                    <w:rPr>
                      <w:rFonts w:hint="eastAsia" w:ascii="宋体" w:hAnsi="宋体" w:eastAsia="宋体" w:cs="宋体"/>
                      <w:kern w:val="0"/>
                      <w:szCs w:val="21"/>
                      <w:lang w:bidi="ar"/>
                    </w:rPr>
                    <w:t>上线检测</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715D">
                  <w:pPr>
                    <w:widowControl/>
                    <w:jc w:val="left"/>
                    <w:textAlignment w:val="center"/>
                    <w:rPr>
                      <w:rFonts w:ascii="宋体" w:hAnsi="宋体" w:eastAsia="宋体" w:cs="宋体"/>
                      <w:szCs w:val="21"/>
                    </w:rPr>
                  </w:pPr>
                  <w:r>
                    <w:rPr>
                      <w:rFonts w:hint="eastAsia" w:ascii="宋体" w:hAnsi="宋体" w:eastAsia="宋体" w:cs="宋体"/>
                      <w:kern w:val="0"/>
                      <w:szCs w:val="21"/>
                      <w:lang w:bidi="ar"/>
                    </w:rPr>
                    <w:t>系统上线前进行脆弱性评估：通过web扫描，漏洞扫描、基线检查、漏洞验证等手段，识别业务系统安全脆弱性风险。防御能力评估：通过模拟黑客进行信息收集、应用及系统入侵，验证防御体系的安全防御能力。安全整改建议：基于安全评估结果分析系统安全风险和威胁，给出针对性的风险处理方案。协助制定规范的基线工作，包括建立安全基线、人工/自动化检测、配置修改与基线检查报告。</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20D1E709">
                  <w:pPr>
                    <w:widowControl/>
                    <w:jc w:val="center"/>
                    <w:textAlignment w:val="center"/>
                    <w:rPr>
                      <w:rFonts w:ascii="宋体" w:hAnsi="宋体" w:eastAsia="宋体" w:cs="宋体"/>
                      <w:szCs w:val="21"/>
                    </w:rPr>
                  </w:pPr>
                  <w:r>
                    <w:rPr>
                      <w:rFonts w:hint="eastAsia" w:ascii="宋体" w:hAnsi="宋体" w:eastAsia="宋体" w:cs="宋体"/>
                      <w:kern w:val="0"/>
                      <w:szCs w:val="21"/>
                      <w:lang w:bidi="ar"/>
                    </w:rPr>
                    <w:t>已上线的系统4次/年检测；需上线的系统按需提供检测服务。</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2F990DA0">
                  <w:pPr>
                    <w:widowControl/>
                    <w:jc w:val="left"/>
                    <w:textAlignment w:val="center"/>
                    <w:rPr>
                      <w:rFonts w:ascii="宋体" w:hAnsi="宋体" w:eastAsia="宋体" w:cs="宋体"/>
                      <w:szCs w:val="21"/>
                    </w:rPr>
                  </w:pPr>
                  <w:r>
                    <w:rPr>
                      <w:rFonts w:hint="eastAsia" w:ascii="宋体" w:hAnsi="宋体" w:eastAsia="宋体" w:cs="宋体"/>
                      <w:szCs w:val="21"/>
                    </w:rPr>
                    <w:t>输出各应用系统上线检测报告，检测内容包含已上线的系统以及计划上线的系统，并出具整改建议</w:t>
                  </w:r>
                </w:p>
              </w:tc>
            </w:tr>
            <w:tr w14:paraId="0A51AEA0">
              <w:tblPrEx>
                <w:tblCellMar>
                  <w:top w:w="0" w:type="dxa"/>
                  <w:left w:w="108" w:type="dxa"/>
                  <w:bottom w:w="0" w:type="dxa"/>
                  <w:right w:w="108" w:type="dxa"/>
                </w:tblCellMar>
              </w:tblPrEx>
              <w:trPr>
                <w:trHeight w:val="486"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8DCE9">
                  <w:pPr>
                    <w:widowControl/>
                    <w:jc w:val="center"/>
                    <w:textAlignment w:val="center"/>
                    <w:rPr>
                      <w:rFonts w:ascii="宋体" w:hAnsi="宋体" w:eastAsia="宋体" w:cs="宋体"/>
                      <w:szCs w:val="21"/>
                    </w:rPr>
                  </w:pPr>
                  <w:r>
                    <w:rPr>
                      <w:rFonts w:hint="eastAsia" w:ascii="宋体" w:hAnsi="宋体" w:eastAsia="宋体" w:cs="宋体"/>
                      <w:kern w:val="0"/>
                      <w:szCs w:val="21"/>
                      <w:lang w:bidi="ar"/>
                    </w:rPr>
                    <w:t>7</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C58A">
                  <w:pPr>
                    <w:widowControl/>
                    <w:jc w:val="left"/>
                    <w:textAlignment w:val="center"/>
                    <w:rPr>
                      <w:rFonts w:ascii="宋体" w:hAnsi="宋体" w:eastAsia="宋体" w:cs="宋体"/>
                      <w:szCs w:val="21"/>
                    </w:rPr>
                  </w:pPr>
                  <w:r>
                    <w:rPr>
                      <w:rFonts w:hint="eastAsia" w:ascii="宋体" w:hAnsi="宋体" w:eastAsia="宋体" w:cs="宋体"/>
                      <w:kern w:val="0"/>
                      <w:szCs w:val="21"/>
                      <w:lang w:bidi="ar"/>
                    </w:rPr>
                    <w:t>制度梳理</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1261">
                  <w:pPr>
                    <w:widowControl/>
                    <w:jc w:val="left"/>
                    <w:textAlignment w:val="center"/>
                    <w:rPr>
                      <w:rFonts w:ascii="宋体" w:hAnsi="宋体" w:eastAsia="宋体" w:cs="宋体"/>
                      <w:szCs w:val="21"/>
                    </w:rPr>
                  </w:pPr>
                  <w:r>
                    <w:rPr>
                      <w:rFonts w:hint="eastAsia" w:ascii="宋体" w:hAnsi="宋体" w:eastAsia="宋体" w:cs="宋体"/>
                      <w:kern w:val="0"/>
                      <w:szCs w:val="21"/>
                      <w:lang w:bidi="ar"/>
                    </w:rPr>
                    <w:t>针对医院现有管理制度进行梳理、完善。提供相关模板，让医院有更明确更高效性的管理制度。</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3B5FE583">
                  <w:pPr>
                    <w:widowControl/>
                    <w:jc w:val="center"/>
                    <w:textAlignment w:val="center"/>
                    <w:rPr>
                      <w:rFonts w:ascii="宋体" w:hAnsi="宋体" w:eastAsia="宋体" w:cs="宋体"/>
                      <w:szCs w:val="21"/>
                    </w:rPr>
                  </w:pPr>
                  <w:r>
                    <w:rPr>
                      <w:rFonts w:hint="eastAsia" w:ascii="宋体" w:hAnsi="宋体" w:eastAsia="宋体" w:cs="宋体"/>
                      <w:kern w:val="0"/>
                      <w:szCs w:val="21"/>
                      <w:lang w:bidi="ar"/>
                    </w:rPr>
                    <w:t>2次/年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68F496FF">
                  <w:pPr>
                    <w:widowControl/>
                    <w:jc w:val="left"/>
                    <w:textAlignment w:val="center"/>
                    <w:rPr>
                      <w:rFonts w:ascii="宋体" w:hAnsi="宋体" w:eastAsia="宋体" w:cs="宋体"/>
                      <w:szCs w:val="21"/>
                    </w:rPr>
                  </w:pPr>
                  <w:r>
                    <w:rPr>
                      <w:rFonts w:hint="eastAsia" w:ascii="宋体" w:hAnsi="宋体" w:eastAsia="宋体" w:cs="宋体"/>
                      <w:szCs w:val="21"/>
                    </w:rPr>
                    <w:t>根据各种法律法规以及条例完善医院现有的管理制度。</w:t>
                  </w:r>
                </w:p>
              </w:tc>
            </w:tr>
            <w:tr w14:paraId="775374A4">
              <w:tblPrEx>
                <w:tblCellMar>
                  <w:top w:w="0" w:type="dxa"/>
                  <w:left w:w="108" w:type="dxa"/>
                  <w:bottom w:w="0" w:type="dxa"/>
                  <w:right w:w="108" w:type="dxa"/>
                </w:tblCellMar>
              </w:tblPrEx>
              <w:trPr>
                <w:trHeight w:val="96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D882">
                  <w:pPr>
                    <w:widowControl/>
                    <w:jc w:val="center"/>
                    <w:textAlignment w:val="center"/>
                    <w:rPr>
                      <w:rFonts w:ascii="宋体" w:hAnsi="宋体" w:eastAsia="宋体" w:cs="宋体"/>
                      <w:szCs w:val="21"/>
                    </w:rPr>
                  </w:pPr>
                  <w:r>
                    <w:rPr>
                      <w:rFonts w:hint="eastAsia" w:ascii="宋体" w:hAnsi="宋体" w:eastAsia="宋体" w:cs="宋体"/>
                      <w:kern w:val="0"/>
                      <w:szCs w:val="21"/>
                      <w:lang w:bidi="ar"/>
                    </w:rPr>
                    <w:t>8</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EFC2">
                  <w:pPr>
                    <w:widowControl/>
                    <w:jc w:val="left"/>
                    <w:textAlignment w:val="center"/>
                    <w:rPr>
                      <w:rFonts w:ascii="宋体" w:hAnsi="宋体" w:eastAsia="宋体" w:cs="宋体"/>
                      <w:szCs w:val="21"/>
                    </w:rPr>
                  </w:pPr>
                  <w:r>
                    <w:rPr>
                      <w:rFonts w:hint="eastAsia" w:ascii="宋体" w:hAnsi="宋体" w:eastAsia="宋体" w:cs="宋体"/>
                      <w:kern w:val="0"/>
                      <w:szCs w:val="21"/>
                      <w:lang w:bidi="ar"/>
                    </w:rPr>
                    <w:t>应急演练</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4BB1E">
                  <w:pPr>
                    <w:widowControl/>
                    <w:jc w:val="left"/>
                    <w:textAlignment w:val="center"/>
                    <w:rPr>
                      <w:rFonts w:ascii="宋体" w:hAnsi="宋体" w:eastAsia="宋体" w:cs="宋体"/>
                      <w:szCs w:val="21"/>
                    </w:rPr>
                  </w:pPr>
                  <w:r>
                    <w:rPr>
                      <w:rFonts w:hint="eastAsia" w:ascii="宋体" w:hAnsi="宋体" w:eastAsia="宋体" w:cs="宋体"/>
                      <w:kern w:val="0"/>
                      <w:szCs w:val="21"/>
                      <w:lang w:bidi="ar"/>
                    </w:rPr>
                    <w:t>协助完善安全应急响应机制，完善安全应急响应预案，并根据医院的实际情况，提供安全应急事件演练方案并协助完成演练。场景可以为但不限于以下内容：网站篡改演练、内网传播型病毒攻击演练、模拟网络单点故障等。</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750B5F56">
                  <w:pPr>
                    <w:widowControl/>
                    <w:jc w:val="center"/>
                    <w:textAlignment w:val="center"/>
                    <w:rPr>
                      <w:rFonts w:ascii="宋体" w:hAnsi="宋体" w:eastAsia="宋体" w:cs="宋体"/>
                      <w:szCs w:val="21"/>
                    </w:rPr>
                  </w:pPr>
                  <w:r>
                    <w:rPr>
                      <w:rFonts w:hint="eastAsia" w:ascii="宋体" w:hAnsi="宋体" w:eastAsia="宋体" w:cs="宋体"/>
                      <w:kern w:val="0"/>
                      <w:szCs w:val="21"/>
                      <w:lang w:bidi="ar"/>
                    </w:rPr>
                    <w:t>1次/年</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505566BE">
                  <w:pPr>
                    <w:widowControl/>
                    <w:jc w:val="left"/>
                    <w:textAlignment w:val="center"/>
                    <w:rPr>
                      <w:rFonts w:ascii="宋体" w:hAnsi="宋体" w:eastAsia="宋体" w:cs="宋体"/>
                      <w:szCs w:val="21"/>
                    </w:rPr>
                  </w:pPr>
                  <w:r>
                    <w:rPr>
                      <w:rFonts w:hint="eastAsia" w:ascii="宋体" w:hAnsi="宋体" w:eastAsia="宋体" w:cs="宋体"/>
                      <w:szCs w:val="21"/>
                    </w:rPr>
                    <w:t>输出应急预案、应急演练等配套文档</w:t>
                  </w:r>
                </w:p>
              </w:tc>
            </w:tr>
            <w:tr w14:paraId="7B23E557">
              <w:tblPrEx>
                <w:tblCellMar>
                  <w:top w:w="0" w:type="dxa"/>
                  <w:left w:w="108" w:type="dxa"/>
                  <w:bottom w:w="0" w:type="dxa"/>
                  <w:right w:w="108" w:type="dxa"/>
                </w:tblCellMar>
              </w:tblPrEx>
              <w:trPr>
                <w:trHeight w:val="963" w:hRule="atLeast"/>
              </w:trPr>
              <w:tc>
                <w:tcPr>
                  <w:tcW w:w="7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EADD0">
                  <w:pPr>
                    <w:widowControl/>
                    <w:jc w:val="center"/>
                    <w:textAlignment w:val="center"/>
                    <w:rPr>
                      <w:rFonts w:ascii="宋体" w:hAnsi="宋体" w:eastAsia="宋体" w:cs="宋体"/>
                      <w:szCs w:val="21"/>
                    </w:rPr>
                  </w:pPr>
                  <w:r>
                    <w:rPr>
                      <w:rFonts w:hint="eastAsia" w:ascii="宋体" w:hAnsi="宋体" w:eastAsia="宋体" w:cs="宋体"/>
                      <w:kern w:val="0"/>
                      <w:szCs w:val="21"/>
                      <w:lang w:bidi="ar"/>
                    </w:rPr>
                    <w:t>9</w:t>
                  </w:r>
                </w:p>
              </w:tc>
              <w:tc>
                <w:tcPr>
                  <w:tcW w:w="11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EF6AD">
                  <w:pPr>
                    <w:widowControl/>
                    <w:jc w:val="left"/>
                    <w:textAlignment w:val="center"/>
                    <w:rPr>
                      <w:rFonts w:ascii="宋体" w:hAnsi="宋体" w:eastAsia="宋体" w:cs="宋体"/>
                      <w:szCs w:val="21"/>
                    </w:rPr>
                  </w:pPr>
                  <w:r>
                    <w:rPr>
                      <w:rFonts w:hint="eastAsia" w:ascii="宋体" w:hAnsi="宋体" w:eastAsia="宋体" w:cs="宋体"/>
                      <w:kern w:val="0"/>
                      <w:szCs w:val="21"/>
                      <w:lang w:bidi="ar"/>
                    </w:rPr>
                    <w:t>安全流程督导</w:t>
                  </w:r>
                </w:p>
              </w:tc>
              <w:tc>
                <w:tcPr>
                  <w:tcW w:w="4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3D30">
                  <w:pPr>
                    <w:widowControl/>
                    <w:jc w:val="left"/>
                    <w:textAlignment w:val="center"/>
                    <w:rPr>
                      <w:rFonts w:ascii="宋体" w:hAnsi="宋体" w:eastAsia="宋体" w:cs="宋体"/>
                      <w:szCs w:val="21"/>
                    </w:rPr>
                  </w:pPr>
                  <w:r>
                    <w:rPr>
                      <w:rFonts w:hint="eastAsia" w:ascii="宋体" w:hAnsi="宋体" w:eastAsia="宋体" w:cs="宋体"/>
                      <w:kern w:val="0"/>
                      <w:szCs w:val="21"/>
                      <w:lang w:bidi="ar"/>
                    </w:rPr>
                    <w:t>协助医院针对不同科室、不同岗位建立安全管理制度，配合医院制度落地。排查医院存在网络安全管理漏洞(如内部安全问题），并出具整改意见，协助医院整改。从而完善了医院安全制度落地过程的闭环工作。</w:t>
                  </w:r>
                </w:p>
              </w:tc>
              <w:tc>
                <w:tcPr>
                  <w:tcW w:w="1132" w:type="dxa"/>
                  <w:tcBorders>
                    <w:top w:val="single" w:color="000000" w:sz="4" w:space="0"/>
                    <w:left w:val="single" w:color="000000" w:sz="4" w:space="0"/>
                    <w:bottom w:val="single" w:color="000000" w:sz="4" w:space="0"/>
                    <w:right w:val="single" w:color="auto" w:sz="4" w:space="0"/>
                  </w:tcBorders>
                  <w:shd w:val="clear" w:color="auto" w:fill="auto"/>
                  <w:vAlign w:val="center"/>
                </w:tcPr>
                <w:p w14:paraId="0BEA3B53">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一年内持续工作</w:t>
                  </w:r>
                </w:p>
              </w:tc>
              <w:tc>
                <w:tcPr>
                  <w:tcW w:w="1987" w:type="dxa"/>
                  <w:tcBorders>
                    <w:top w:val="single" w:color="000000" w:sz="4" w:space="0"/>
                    <w:left w:val="single" w:color="auto" w:sz="4" w:space="0"/>
                    <w:bottom w:val="single" w:color="000000" w:sz="4" w:space="0"/>
                    <w:right w:val="single" w:color="000000" w:sz="4" w:space="0"/>
                  </w:tcBorders>
                  <w:shd w:val="clear" w:color="auto" w:fill="auto"/>
                  <w:vAlign w:val="center"/>
                </w:tcPr>
                <w:p w14:paraId="33F28D4F">
                  <w:pPr>
                    <w:widowControl/>
                    <w:jc w:val="left"/>
                    <w:textAlignment w:val="center"/>
                    <w:rPr>
                      <w:rFonts w:ascii="宋体" w:hAnsi="宋体" w:eastAsia="宋体" w:cs="宋体"/>
                      <w:szCs w:val="21"/>
                    </w:rPr>
                  </w:pPr>
                  <w:r>
                    <w:rPr>
                      <w:rFonts w:hint="eastAsia" w:ascii="宋体" w:hAnsi="宋体" w:eastAsia="宋体" w:cs="宋体"/>
                      <w:szCs w:val="21"/>
                    </w:rPr>
                    <w:t>根据医院网络安全管理制度，落实相关管理要求。要求输出各种管理和执行表格。</w:t>
                  </w:r>
                </w:p>
              </w:tc>
            </w:tr>
            <w:tr w14:paraId="4D7E9CCF">
              <w:tblPrEx>
                <w:tblCellMar>
                  <w:top w:w="0" w:type="dxa"/>
                  <w:left w:w="108" w:type="dxa"/>
                  <w:bottom w:w="0" w:type="dxa"/>
                  <w:right w:w="108" w:type="dxa"/>
                </w:tblCellMar>
              </w:tblPrEx>
              <w:trPr>
                <w:trHeight w:val="724" w:hRule="atLeast"/>
              </w:trPr>
              <w:tc>
                <w:tcPr>
                  <w:tcW w:w="707" w:type="dxa"/>
                  <w:tcBorders>
                    <w:top w:val="single" w:color="000000" w:sz="4" w:space="0"/>
                    <w:left w:val="single" w:color="000000" w:sz="4" w:space="0"/>
                    <w:bottom w:val="single" w:color="auto" w:sz="4" w:space="0"/>
                    <w:right w:val="single" w:color="000000" w:sz="4" w:space="0"/>
                  </w:tcBorders>
                  <w:shd w:val="clear" w:color="auto" w:fill="auto"/>
                  <w:vAlign w:val="center"/>
                </w:tcPr>
                <w:p w14:paraId="2B222C0C">
                  <w:pPr>
                    <w:widowControl/>
                    <w:jc w:val="center"/>
                    <w:textAlignment w:val="center"/>
                    <w:rPr>
                      <w:rFonts w:ascii="宋体" w:hAnsi="宋体" w:eastAsia="宋体" w:cs="宋体"/>
                      <w:szCs w:val="21"/>
                    </w:rPr>
                  </w:pPr>
                  <w:r>
                    <w:rPr>
                      <w:rFonts w:hint="eastAsia" w:ascii="宋体" w:hAnsi="宋体" w:eastAsia="宋体" w:cs="宋体"/>
                      <w:kern w:val="0"/>
                      <w:szCs w:val="21"/>
                      <w:lang w:bidi="ar"/>
                    </w:rPr>
                    <w:t>10</w:t>
                  </w:r>
                </w:p>
              </w:tc>
              <w:tc>
                <w:tcPr>
                  <w:tcW w:w="1134" w:type="dxa"/>
                  <w:tcBorders>
                    <w:top w:val="single" w:color="000000" w:sz="4" w:space="0"/>
                    <w:left w:val="single" w:color="000000" w:sz="4" w:space="0"/>
                    <w:bottom w:val="single" w:color="auto" w:sz="4" w:space="0"/>
                    <w:right w:val="single" w:color="000000" w:sz="4" w:space="0"/>
                  </w:tcBorders>
                  <w:shd w:val="clear" w:color="auto" w:fill="auto"/>
                  <w:vAlign w:val="center"/>
                </w:tcPr>
                <w:p w14:paraId="5900A27F">
                  <w:pPr>
                    <w:widowControl/>
                    <w:jc w:val="left"/>
                    <w:textAlignment w:val="center"/>
                    <w:rPr>
                      <w:rFonts w:ascii="宋体" w:hAnsi="宋体" w:eastAsia="宋体" w:cs="宋体"/>
                      <w:szCs w:val="21"/>
                    </w:rPr>
                  </w:pPr>
                  <w:r>
                    <w:rPr>
                      <w:rFonts w:hint="eastAsia" w:ascii="宋体" w:hAnsi="宋体" w:eastAsia="宋体" w:cs="宋体"/>
                      <w:kern w:val="0"/>
                      <w:szCs w:val="21"/>
                      <w:lang w:bidi="ar"/>
                    </w:rPr>
                    <w:t>安全培训及宣传</w:t>
                  </w:r>
                </w:p>
              </w:tc>
              <w:tc>
                <w:tcPr>
                  <w:tcW w:w="4538" w:type="dxa"/>
                  <w:tcBorders>
                    <w:top w:val="single" w:color="000000" w:sz="4" w:space="0"/>
                    <w:left w:val="single" w:color="000000" w:sz="4" w:space="0"/>
                    <w:bottom w:val="single" w:color="auto" w:sz="4" w:space="0"/>
                    <w:right w:val="single" w:color="000000" w:sz="4" w:space="0"/>
                  </w:tcBorders>
                  <w:shd w:val="clear" w:color="auto" w:fill="auto"/>
                  <w:vAlign w:val="center"/>
                </w:tcPr>
                <w:p w14:paraId="0866CFB0">
                  <w:pPr>
                    <w:widowControl/>
                    <w:jc w:val="left"/>
                    <w:textAlignment w:val="center"/>
                    <w:rPr>
                      <w:rFonts w:ascii="宋体" w:hAnsi="宋体" w:eastAsia="宋体" w:cs="宋体"/>
                      <w:szCs w:val="21"/>
                    </w:rPr>
                  </w:pPr>
                  <w:r>
                    <w:rPr>
                      <w:rFonts w:hint="eastAsia" w:ascii="宋体" w:hAnsi="宋体" w:eastAsia="宋体" w:cs="宋体"/>
                      <w:kern w:val="0"/>
                      <w:szCs w:val="21"/>
                      <w:lang w:bidi="ar"/>
                    </w:rPr>
                    <w:t>通过引用当前典型的安全事件，定期开展网络安全、数据安全、个人信息保护等专题宣传活动，宣传内容包括：网络及网络安全法律法规、员工安全意识、网络安全制度、数据安全、个人信息保护。提升全院人员网络安全意识和减少安全风险。通过但不限于集中培训、线上培训以及发放宣传手册等方式。</w:t>
                  </w:r>
                </w:p>
              </w:tc>
              <w:tc>
                <w:tcPr>
                  <w:tcW w:w="1132" w:type="dxa"/>
                  <w:tcBorders>
                    <w:top w:val="single" w:color="000000" w:sz="4" w:space="0"/>
                    <w:left w:val="single" w:color="000000" w:sz="4" w:space="0"/>
                    <w:bottom w:val="single" w:color="auto" w:sz="4" w:space="0"/>
                    <w:right w:val="single" w:color="auto" w:sz="4" w:space="0"/>
                  </w:tcBorders>
                  <w:shd w:val="clear" w:color="auto" w:fill="auto"/>
                  <w:vAlign w:val="center"/>
                </w:tcPr>
                <w:p w14:paraId="6B3A357A">
                  <w:pPr>
                    <w:widowControl/>
                    <w:jc w:val="center"/>
                    <w:textAlignment w:val="center"/>
                    <w:rPr>
                      <w:rFonts w:ascii="宋体" w:hAnsi="宋体" w:eastAsia="宋体" w:cs="宋体"/>
                      <w:szCs w:val="21"/>
                    </w:rPr>
                  </w:pPr>
                  <w:r>
                    <w:rPr>
                      <w:rFonts w:hint="eastAsia" w:ascii="宋体" w:hAnsi="宋体" w:eastAsia="宋体" w:cs="宋体"/>
                      <w:kern w:val="0"/>
                      <w:szCs w:val="21"/>
                      <w:lang w:bidi="ar"/>
                    </w:rPr>
                    <w:t>不少于1次/每年；根据实际情况开展</w:t>
                  </w:r>
                  <w:r>
                    <w:rPr>
                      <w:rFonts w:ascii="宋体" w:hAnsi="宋体" w:eastAsia="宋体" w:cs="宋体"/>
                      <w:szCs w:val="21"/>
                    </w:rPr>
                    <w:t xml:space="preserve"> </w:t>
                  </w:r>
                </w:p>
              </w:tc>
              <w:tc>
                <w:tcPr>
                  <w:tcW w:w="1987" w:type="dxa"/>
                  <w:tcBorders>
                    <w:top w:val="single" w:color="000000" w:sz="4" w:space="0"/>
                    <w:left w:val="single" w:color="auto" w:sz="4" w:space="0"/>
                    <w:bottom w:val="single" w:color="auto" w:sz="4" w:space="0"/>
                    <w:right w:val="single" w:color="000000" w:sz="4" w:space="0"/>
                  </w:tcBorders>
                  <w:shd w:val="clear" w:color="auto" w:fill="auto"/>
                  <w:vAlign w:val="center"/>
                </w:tcPr>
                <w:p w14:paraId="33227F69">
                  <w:pPr>
                    <w:widowControl/>
                    <w:jc w:val="left"/>
                    <w:textAlignment w:val="center"/>
                    <w:rPr>
                      <w:rFonts w:ascii="宋体" w:hAnsi="宋体" w:eastAsia="宋体" w:cs="宋体"/>
                      <w:szCs w:val="21"/>
                    </w:rPr>
                  </w:pPr>
                  <w:r>
                    <w:rPr>
                      <w:rFonts w:hint="eastAsia" w:ascii="宋体" w:hAnsi="宋体" w:eastAsia="宋体" w:cs="宋体"/>
                      <w:szCs w:val="21"/>
                    </w:rPr>
                    <w:t>每次开展需输出相关成果，包括但不限于宣传手册、安全知识PPT等</w:t>
                  </w:r>
                </w:p>
              </w:tc>
            </w:tr>
            <w:tr w14:paraId="57F19EC7">
              <w:tblPrEx>
                <w:tblCellMar>
                  <w:top w:w="0" w:type="dxa"/>
                  <w:left w:w="108" w:type="dxa"/>
                  <w:bottom w:w="0" w:type="dxa"/>
                  <w:right w:w="108" w:type="dxa"/>
                </w:tblCellMar>
              </w:tblPrEx>
              <w:trPr>
                <w:trHeight w:val="724"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0D529DD9">
                  <w:pPr>
                    <w:widowControl/>
                    <w:jc w:val="center"/>
                    <w:textAlignment w:val="center"/>
                    <w:rPr>
                      <w:rFonts w:ascii="宋体" w:hAnsi="宋体" w:eastAsia="宋体" w:cs="宋体"/>
                      <w:szCs w:val="21"/>
                    </w:rPr>
                  </w:pPr>
                  <w:r>
                    <w:rPr>
                      <w:rFonts w:hint="eastAsia" w:ascii="宋体" w:hAnsi="宋体" w:eastAsia="宋体" w:cs="宋体"/>
                      <w:kern w:val="0"/>
                      <w:szCs w:val="21"/>
                      <w:lang w:bidi="ar"/>
                    </w:rPr>
                    <w:t>11</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57E4FD8">
                  <w:pPr>
                    <w:widowControl/>
                    <w:jc w:val="left"/>
                    <w:textAlignment w:val="center"/>
                    <w:rPr>
                      <w:rFonts w:ascii="宋体" w:hAnsi="宋体" w:eastAsia="宋体" w:cs="宋体"/>
                      <w:szCs w:val="21"/>
                    </w:rPr>
                  </w:pPr>
                  <w:r>
                    <w:rPr>
                      <w:rFonts w:hint="eastAsia" w:ascii="宋体" w:hAnsi="宋体" w:eastAsia="宋体" w:cs="宋体"/>
                      <w:kern w:val="0"/>
                      <w:szCs w:val="21"/>
                      <w:lang w:bidi="ar"/>
                    </w:rPr>
                    <w:t>Web资产云防护</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49C9EC48">
                  <w:pPr>
                    <w:widowControl/>
                    <w:jc w:val="left"/>
                    <w:textAlignment w:val="center"/>
                    <w:rPr>
                      <w:rFonts w:ascii="宋体" w:hAnsi="宋体" w:eastAsia="宋体" w:cs="宋体"/>
                      <w:szCs w:val="21"/>
                    </w:rPr>
                  </w:pPr>
                  <w:r>
                    <w:rPr>
                      <w:rFonts w:hint="eastAsia" w:ascii="宋体" w:hAnsi="宋体" w:eastAsia="宋体" w:cs="宋体"/>
                      <w:kern w:val="0"/>
                      <w:szCs w:val="21"/>
                      <w:lang w:bidi="ar"/>
                    </w:rPr>
                    <w:t>云防护服务基于云计算和威胁情报能力，完成防DDOS、防黑、防泄露等安全防护，提供7*24小时服务，对象：互联网网站系统，降低网站安全风险。支持1主域名+5子域名</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27A65B0">
                  <w:pPr>
                    <w:widowControl/>
                    <w:jc w:val="center"/>
                    <w:textAlignment w:val="center"/>
                    <w:rPr>
                      <w:rFonts w:ascii="宋体" w:hAnsi="宋体" w:eastAsia="宋体" w:cs="宋体"/>
                      <w:szCs w:val="21"/>
                    </w:rPr>
                  </w:pPr>
                  <w:r>
                    <w:rPr>
                      <w:rFonts w:hint="eastAsia" w:ascii="宋体" w:hAnsi="宋体" w:eastAsia="宋体" w:cs="宋体"/>
                      <w:kern w:val="0"/>
                      <w:szCs w:val="21"/>
                      <w:lang w:bidi="ar"/>
                    </w:rPr>
                    <w:t>一年内持续工作</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0C9C017C">
                  <w:pPr>
                    <w:widowControl/>
                    <w:jc w:val="left"/>
                    <w:textAlignment w:val="center"/>
                    <w:rPr>
                      <w:rFonts w:ascii="宋体" w:hAnsi="宋体" w:eastAsia="宋体" w:cs="宋体"/>
                      <w:szCs w:val="21"/>
                    </w:rPr>
                  </w:pPr>
                  <w:r>
                    <w:rPr>
                      <w:rFonts w:hint="eastAsia" w:ascii="宋体" w:hAnsi="宋体" w:eastAsia="宋体" w:cs="宋体"/>
                      <w:szCs w:val="21"/>
                    </w:rPr>
                    <w:t>针对医院网站以及对外提供服务的系统持续监测。</w:t>
                  </w:r>
                </w:p>
              </w:tc>
            </w:tr>
            <w:tr w14:paraId="1D87D4A3">
              <w:tblPrEx>
                <w:tblCellMar>
                  <w:top w:w="0" w:type="dxa"/>
                  <w:left w:w="108" w:type="dxa"/>
                  <w:bottom w:w="0" w:type="dxa"/>
                  <w:right w:w="108" w:type="dxa"/>
                </w:tblCellMar>
              </w:tblPrEx>
              <w:trPr>
                <w:trHeight w:val="144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6B6522FD">
                  <w:pPr>
                    <w:widowControl/>
                    <w:jc w:val="center"/>
                    <w:textAlignment w:val="center"/>
                    <w:rPr>
                      <w:rFonts w:ascii="宋体" w:hAnsi="宋体" w:eastAsia="宋体" w:cs="宋体"/>
                      <w:szCs w:val="21"/>
                    </w:rPr>
                  </w:pPr>
                  <w:r>
                    <w:rPr>
                      <w:rFonts w:hint="eastAsia" w:ascii="宋体" w:hAnsi="宋体" w:eastAsia="宋体" w:cs="宋体"/>
                      <w:kern w:val="0"/>
                      <w:szCs w:val="21"/>
                      <w:lang w:bidi="ar"/>
                    </w:rPr>
                    <w:t>12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21FC36ED">
                  <w:pPr>
                    <w:widowControl/>
                    <w:jc w:val="center"/>
                    <w:textAlignment w:val="center"/>
                    <w:rPr>
                      <w:rFonts w:ascii="宋体" w:hAnsi="宋体" w:eastAsia="宋体" w:cs="宋体"/>
                      <w:szCs w:val="21"/>
                    </w:rPr>
                  </w:pPr>
                  <w:r>
                    <w:rPr>
                      <w:rFonts w:hint="eastAsia" w:ascii="宋体" w:hAnsi="宋体" w:eastAsia="宋体" w:cs="宋体"/>
                      <w:szCs w:val="21"/>
                    </w:rPr>
                    <w:t>飞行检查</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63D3F50B">
                  <w:pPr>
                    <w:widowControl/>
                    <w:jc w:val="left"/>
                    <w:textAlignment w:val="center"/>
                    <w:rPr>
                      <w:rFonts w:ascii="宋体" w:hAnsi="宋体" w:eastAsia="宋体" w:cs="宋体"/>
                      <w:szCs w:val="21"/>
                    </w:rPr>
                  </w:pPr>
                  <w:r>
                    <w:rPr>
                      <w:rFonts w:hint="eastAsia" w:ascii="宋体" w:hAnsi="宋体" w:eastAsia="宋体" w:cs="宋体"/>
                      <w:szCs w:val="21"/>
                    </w:rPr>
                    <w:t>在日常例行检查以及现场技术支持的基础上增加额外的巡检和扫描。</w:t>
                  </w:r>
                  <w:r>
                    <w:rPr>
                      <w:rFonts w:ascii="宋体" w:hAnsi="宋体" w:eastAsia="宋体" w:cs="宋体"/>
                      <w:szCs w:val="21"/>
                    </w:rPr>
                    <w:t xml:space="preserve"> </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56C83C2">
                  <w:pPr>
                    <w:widowControl/>
                    <w:jc w:val="center"/>
                    <w:textAlignment w:val="center"/>
                    <w:rPr>
                      <w:rFonts w:ascii="宋体" w:hAnsi="宋体" w:eastAsia="宋体" w:cs="宋体"/>
                      <w:szCs w:val="21"/>
                    </w:rPr>
                  </w:pPr>
                  <w:r>
                    <w:rPr>
                      <w:rFonts w:hint="eastAsia" w:ascii="宋体" w:hAnsi="宋体" w:eastAsia="宋体" w:cs="宋体"/>
                      <w:szCs w:val="21"/>
                    </w:rPr>
                    <w:t>半年一次</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3F077E5F">
                  <w:pPr>
                    <w:widowControl/>
                    <w:jc w:val="left"/>
                    <w:textAlignment w:val="center"/>
                    <w:rPr>
                      <w:rFonts w:ascii="宋体" w:hAnsi="宋体" w:eastAsia="宋体" w:cs="宋体"/>
                      <w:szCs w:val="21"/>
                    </w:rPr>
                  </w:pPr>
                  <w:r>
                    <w:rPr>
                      <w:rFonts w:hint="eastAsia" w:ascii="宋体" w:hAnsi="宋体" w:eastAsia="宋体" w:cs="宋体"/>
                      <w:szCs w:val="21"/>
                    </w:rPr>
                    <w:t>检查内容包括但不限于日常检查内容及相关文件、相关安全漏洞、预警等等</w:t>
                  </w:r>
                </w:p>
              </w:tc>
            </w:tr>
            <w:tr w14:paraId="5A96ACB0">
              <w:tblPrEx>
                <w:tblCellMar>
                  <w:top w:w="0" w:type="dxa"/>
                  <w:left w:w="108" w:type="dxa"/>
                  <w:bottom w:w="0" w:type="dxa"/>
                  <w:right w:w="108" w:type="dxa"/>
                </w:tblCellMar>
              </w:tblPrEx>
              <w:trPr>
                <w:trHeight w:val="144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5B56701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1E176BEA">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现场技术支持</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0393BB04">
                  <w:pPr>
                    <w:widowControl/>
                    <w:jc w:val="left"/>
                    <w:textAlignment w:val="center"/>
                    <w:rPr>
                      <w:rFonts w:ascii="宋体" w:hAnsi="宋体" w:eastAsia="宋体" w:cs="宋体"/>
                      <w:kern w:val="0"/>
                      <w:szCs w:val="21"/>
                      <w:lang w:bidi="ar"/>
                    </w:rPr>
                  </w:pPr>
                  <w:r>
                    <w:rPr>
                      <w:rFonts w:hint="eastAsia" w:ascii="宋体" w:hAnsi="宋体" w:eastAsia="宋体" w:cs="宋体"/>
                      <w:kern w:val="0"/>
                      <w:szCs w:val="21"/>
                      <w:lang w:bidi="ar"/>
                    </w:rPr>
                    <w:t>辅助医院各项安全管理制度的落实</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负责医院日常网络安全工作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针对医院信息化资产多常态化安全检测</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跟进安全漏洞整改进度</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重大时期安全值守工作</w:t>
                  </w:r>
                  <w:r>
                    <w:rPr>
                      <w:rFonts w:hint="eastAsia" w:ascii="宋体" w:hAnsi="宋体" w:eastAsia="宋体" w:cs="宋体"/>
                      <w:kern w:val="0"/>
                      <w:szCs w:val="21"/>
                      <w:lang w:bidi="ar"/>
                    </w:rPr>
                    <w:br w:type="textWrapping"/>
                  </w:r>
                  <w:r>
                    <w:rPr>
                      <w:rFonts w:hint="eastAsia" w:ascii="宋体" w:hAnsi="宋体" w:eastAsia="宋体" w:cs="宋体"/>
                      <w:kern w:val="0"/>
                      <w:szCs w:val="21"/>
                      <w:lang w:bidi="ar"/>
                    </w:rPr>
                    <w:t>安排1名专职安全服务工程师全年度现场技术支持。</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557A351C">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一年内持续工作</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C5456E7">
                  <w:pPr>
                    <w:widowControl/>
                    <w:jc w:val="left"/>
                    <w:textAlignment w:val="center"/>
                    <w:rPr>
                      <w:rFonts w:ascii="宋体" w:hAnsi="宋体" w:eastAsia="宋体" w:cs="宋体"/>
                      <w:szCs w:val="21"/>
                    </w:rPr>
                  </w:pPr>
                  <w:r>
                    <w:rPr>
                      <w:rFonts w:hint="eastAsia" w:ascii="宋体" w:hAnsi="宋体" w:eastAsia="宋体" w:cs="宋体"/>
                      <w:szCs w:val="21"/>
                    </w:rPr>
                    <w:t>根据医院网络安全方针及需求开展工作，紧急情况下包含但不限于要求人员长期或短期现场驻点以及满足医院开展网络安全工作的需要。</w:t>
                  </w:r>
                </w:p>
              </w:tc>
            </w:tr>
            <w:tr w14:paraId="53164DE2">
              <w:tblPrEx>
                <w:tblCellMar>
                  <w:top w:w="0" w:type="dxa"/>
                  <w:left w:w="108" w:type="dxa"/>
                  <w:bottom w:w="0" w:type="dxa"/>
                  <w:right w:w="108" w:type="dxa"/>
                </w:tblCellMar>
              </w:tblPrEx>
              <w:trPr>
                <w:trHeight w:val="144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2B01501">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14</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822A326">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网络安全管理体系的建立</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6065B117">
                  <w:pPr>
                    <w:rPr>
                      <w:rFonts w:asciiTheme="minorEastAsia" w:hAnsiTheme="minorEastAsia"/>
                    </w:rPr>
                  </w:pPr>
                  <w:r>
                    <w:rPr>
                      <w:rFonts w:hint="eastAsia" w:asciiTheme="minorEastAsia" w:hAnsiTheme="minorEastAsia"/>
                    </w:rPr>
                    <w:t>1.需辅助医院建立从风险的发现，如漏洞、安全威胁等等，通知，整改跟进，整改落实，再次扫描，事件的确认归档等完整的安全事件闭环处理流程。</w:t>
                  </w:r>
                </w:p>
                <w:p w14:paraId="63D9ED33">
                  <w:pPr>
                    <w:rPr>
                      <w:lang w:bidi="ar"/>
                    </w:rPr>
                  </w:pPr>
                  <w:r>
                    <w:rPr>
                      <w:rFonts w:hint="eastAsia" w:asciiTheme="minorEastAsia" w:hAnsiTheme="minorEastAsia"/>
                    </w:rPr>
                    <w:t>2.建立网络安全日常管理排查体系。</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3A6DBC3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不限</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EDB0332">
                  <w:pPr>
                    <w:widowControl/>
                    <w:jc w:val="left"/>
                    <w:textAlignment w:val="center"/>
                    <w:rPr>
                      <w:rFonts w:ascii="宋体" w:hAnsi="宋体" w:eastAsia="宋体" w:cs="宋体"/>
                      <w:szCs w:val="21"/>
                    </w:rPr>
                  </w:pPr>
                  <w:r>
                    <w:rPr>
                      <w:rFonts w:hint="eastAsia" w:ascii="宋体" w:hAnsi="宋体" w:eastAsia="宋体" w:cs="宋体"/>
                      <w:szCs w:val="21"/>
                    </w:rPr>
                    <w:t>梳理医院网络安全实际管理情况，拟定体系建设计划。分类形成相关管理文档。</w:t>
                  </w:r>
                </w:p>
              </w:tc>
            </w:tr>
            <w:tr w14:paraId="4C60FBAB">
              <w:tblPrEx>
                <w:tblCellMar>
                  <w:top w:w="0" w:type="dxa"/>
                  <w:left w:w="108" w:type="dxa"/>
                  <w:bottom w:w="0" w:type="dxa"/>
                  <w:right w:w="108" w:type="dxa"/>
                </w:tblCellMar>
              </w:tblPrEx>
              <w:trPr>
                <w:trHeight w:val="1448"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3202B8D">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5</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3433AE4B">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应急响应</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3DB246A4">
                  <w:pPr>
                    <w:rPr>
                      <w:rFonts w:asciiTheme="minorEastAsia" w:hAnsiTheme="minorEastAsia"/>
                    </w:rPr>
                  </w:pPr>
                  <w:r>
                    <w:rPr>
                      <w:rFonts w:hint="eastAsia" w:asciiTheme="minorEastAsia" w:hAnsiTheme="minorEastAsia"/>
                    </w:rPr>
                    <w:t>根据医院实际情况，提供信息安全应急响应工作，包括应急预案、事件处置及问题修复、报告输出。提供一年的365×7×24小时重大安全事件的应急响应工作， 半小时以内响应，通过电话、电子邮件、或通过远程控制等方式提供非现场技术支持服务。重大安全事件4小时内到现场，应急响应主要针对突发的网站安全故障、网络安全事件、应用系统安全事件、主机安全事件、黑客攻击事件等进行诊断、分析并协助解决。在网络或安全设备发生故障之后，评估网络环境、配置、状况、备份等因素，判断是否可以进行修复。在做好数据的备份、现场的记录之后，对配置进行紧急修复，尽可能的减少故障时间。</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7B4CE1C8">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不限</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4F7EBE8D">
                  <w:pPr>
                    <w:widowControl/>
                    <w:jc w:val="left"/>
                    <w:textAlignment w:val="center"/>
                    <w:rPr>
                      <w:rFonts w:ascii="宋体" w:hAnsi="宋体" w:eastAsia="宋体" w:cs="宋体"/>
                      <w:szCs w:val="21"/>
                    </w:rPr>
                  </w:pPr>
                  <w:r>
                    <w:rPr>
                      <w:rFonts w:hint="eastAsia" w:ascii="宋体" w:hAnsi="宋体" w:eastAsia="宋体" w:cs="宋体"/>
                      <w:szCs w:val="21"/>
                    </w:rPr>
                    <w:t>当发生安全事件后，安全专家及时响应协助客户检查所受影响的系统，对攻击事件进行溯源，找到问题的根源并提出解决方案，协助后续处理，并输出响应的应急响应报告。</w:t>
                  </w:r>
                </w:p>
              </w:tc>
            </w:tr>
            <w:tr w14:paraId="4022E58E">
              <w:tblPrEx>
                <w:tblCellMar>
                  <w:top w:w="0" w:type="dxa"/>
                  <w:left w:w="108" w:type="dxa"/>
                  <w:bottom w:w="0" w:type="dxa"/>
                  <w:right w:w="108" w:type="dxa"/>
                </w:tblCellMar>
              </w:tblPrEx>
              <w:trPr>
                <w:trHeight w:val="2265"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C302607">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6</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7E2F8D44">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安全分析及态势通报</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0A85AEEE">
                  <w:pPr>
                    <w:jc w:val="left"/>
                  </w:pPr>
                  <w:r>
                    <w:rPr>
                      <w:rFonts w:hint="eastAsia"/>
                    </w:rPr>
                    <w:t>周期性地将安全治理服务的成果进行态势通报，形成信息系统安全治理月报、季报、年报。</w:t>
                  </w:r>
                </w:p>
                <w:p w14:paraId="014B68C9">
                  <w:pPr>
                    <w:jc w:val="left"/>
                  </w:pPr>
                  <w:r>
                    <w:rPr>
                      <w:rFonts w:hint="eastAsia"/>
                    </w:rPr>
                    <w:t>每季度开展信息安全分析会，提出解决信息安全工作中存在问题的书面建议和意见，每季度提供一份安全分析报告。</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44FF9CE5">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每月、每季度、每年度</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1D32C7AC">
                  <w:pPr>
                    <w:widowControl/>
                    <w:jc w:val="left"/>
                    <w:textAlignment w:val="center"/>
                    <w:rPr>
                      <w:rFonts w:ascii="宋体" w:hAnsi="宋体" w:eastAsia="宋体" w:cs="宋体"/>
                      <w:szCs w:val="21"/>
                    </w:rPr>
                  </w:pPr>
                  <w:r>
                    <w:rPr>
                      <w:rFonts w:hint="eastAsia" w:ascii="宋体" w:hAnsi="宋体" w:eastAsia="宋体" w:cs="宋体"/>
                      <w:szCs w:val="21"/>
                    </w:rPr>
                    <w:t>定期性汇总和汇报当前安全服务成果，对医院安全态势及情况定期进行汇报。输出安全服务成果报告及医院安全态势分析报告。</w:t>
                  </w:r>
                </w:p>
              </w:tc>
            </w:tr>
            <w:tr w14:paraId="362AD876">
              <w:tblPrEx>
                <w:tblCellMar>
                  <w:top w:w="0" w:type="dxa"/>
                  <w:left w:w="108" w:type="dxa"/>
                  <w:bottom w:w="0" w:type="dxa"/>
                  <w:right w:w="108" w:type="dxa"/>
                </w:tblCellMar>
              </w:tblPrEx>
              <w:trPr>
                <w:trHeight w:val="884" w:hRule="atLeast"/>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7D537DE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1</w:t>
                  </w:r>
                  <w:r>
                    <w:rPr>
                      <w:rFonts w:ascii="宋体" w:hAnsi="宋体" w:eastAsia="宋体" w:cs="宋体"/>
                      <w:kern w:val="0"/>
                      <w:szCs w:val="21"/>
                      <w:lang w:bidi="ar"/>
                    </w:rPr>
                    <w:t>7</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14:paraId="07125E7E">
                  <w:pPr>
                    <w:widowControl/>
                    <w:textAlignment w:val="center"/>
                    <w:rPr>
                      <w:rFonts w:ascii="宋体" w:hAnsi="宋体" w:eastAsia="宋体" w:cs="宋体"/>
                      <w:kern w:val="0"/>
                      <w:szCs w:val="21"/>
                      <w:lang w:bidi="ar"/>
                    </w:rPr>
                  </w:pPr>
                  <w:r>
                    <w:rPr>
                      <w:rFonts w:hint="eastAsia" w:ascii="宋体" w:hAnsi="宋体" w:eastAsia="宋体" w:cs="宋体"/>
                      <w:kern w:val="0"/>
                      <w:szCs w:val="21"/>
                      <w:lang w:bidi="ar"/>
                    </w:rPr>
                    <w:t>数据备份安全管理</w:t>
                  </w:r>
                </w:p>
              </w:tc>
              <w:tc>
                <w:tcPr>
                  <w:tcW w:w="4538" w:type="dxa"/>
                  <w:tcBorders>
                    <w:top w:val="single" w:color="auto" w:sz="4" w:space="0"/>
                    <w:left w:val="single" w:color="auto" w:sz="4" w:space="0"/>
                    <w:bottom w:val="single" w:color="auto" w:sz="4" w:space="0"/>
                    <w:right w:val="single" w:color="auto" w:sz="4" w:space="0"/>
                  </w:tcBorders>
                  <w:shd w:val="clear" w:color="auto" w:fill="auto"/>
                  <w:vAlign w:val="center"/>
                </w:tcPr>
                <w:p w14:paraId="66BFAB36">
                  <w:pPr>
                    <w:widowControl/>
                    <w:jc w:val="left"/>
                    <w:rPr>
                      <w:rFonts w:ascii="宋体" w:hAnsi="宋体" w:eastAsia="宋体" w:cs="宋体"/>
                      <w:kern w:val="0"/>
                      <w:szCs w:val="21"/>
                      <w:lang w:bidi="ar"/>
                    </w:rPr>
                  </w:pPr>
                  <w:r>
                    <w:rPr>
                      <w:rFonts w:hint="eastAsia" w:ascii="宋体" w:hAnsi="宋体" w:eastAsia="宋体" w:cs="宋体"/>
                      <w:kern w:val="0"/>
                      <w:szCs w:val="21"/>
                      <w:lang w:bidi="ar"/>
                    </w:rPr>
                    <w:t>对业务系统的数据实现在线备份，并发执行备份任务及恢复任务功能</w:t>
                  </w:r>
                  <w:r>
                    <w:rPr>
                      <w:rFonts w:ascii="宋体" w:hAnsi="宋体" w:eastAsia="宋体" w:cs="宋体"/>
                      <w:kern w:val="0"/>
                      <w:szCs w:val="21"/>
                      <w:lang w:bidi="ar"/>
                    </w:rPr>
                    <w:t>，提供≥40TB在线存储容量</w:t>
                  </w:r>
                  <w:r>
                    <w:rPr>
                      <w:rFonts w:hint="eastAsia" w:ascii="宋体" w:hAnsi="宋体" w:eastAsia="宋体" w:cs="宋体"/>
                      <w:kern w:val="0"/>
                      <w:szCs w:val="21"/>
                      <w:lang w:bidi="ar"/>
                    </w:rPr>
                    <w:t>，需兼容现有离线备份系统平台，实现数据的在线与离线备份保护机制，保障数据的安全备份管理。</w:t>
                  </w:r>
                </w:p>
              </w:tc>
              <w:tc>
                <w:tcPr>
                  <w:tcW w:w="1132" w:type="dxa"/>
                  <w:tcBorders>
                    <w:top w:val="single" w:color="auto" w:sz="4" w:space="0"/>
                    <w:left w:val="single" w:color="auto" w:sz="4" w:space="0"/>
                    <w:bottom w:val="single" w:color="auto" w:sz="4" w:space="0"/>
                    <w:right w:val="single" w:color="auto" w:sz="4" w:space="0"/>
                  </w:tcBorders>
                  <w:shd w:val="clear" w:color="auto" w:fill="auto"/>
                  <w:vAlign w:val="center"/>
                </w:tcPr>
                <w:p w14:paraId="62183399">
                  <w:pPr>
                    <w:widowControl/>
                    <w:jc w:val="center"/>
                    <w:textAlignment w:val="center"/>
                    <w:rPr>
                      <w:rFonts w:ascii="宋体" w:hAnsi="宋体" w:eastAsia="宋体" w:cs="宋体"/>
                      <w:kern w:val="0"/>
                      <w:szCs w:val="21"/>
                      <w:lang w:bidi="ar"/>
                    </w:rPr>
                  </w:pPr>
                  <w:r>
                    <w:rPr>
                      <w:rFonts w:hint="eastAsia" w:ascii="宋体" w:hAnsi="宋体" w:eastAsia="宋体" w:cs="宋体"/>
                      <w:kern w:val="0"/>
                      <w:szCs w:val="21"/>
                      <w:lang w:bidi="ar"/>
                    </w:rPr>
                    <w:t>一年内持续工作</w:t>
                  </w:r>
                </w:p>
              </w:tc>
              <w:tc>
                <w:tcPr>
                  <w:tcW w:w="1987" w:type="dxa"/>
                  <w:tcBorders>
                    <w:top w:val="single" w:color="auto" w:sz="4" w:space="0"/>
                    <w:left w:val="single" w:color="auto" w:sz="4" w:space="0"/>
                    <w:bottom w:val="single" w:color="auto" w:sz="4" w:space="0"/>
                    <w:right w:val="single" w:color="auto" w:sz="4" w:space="0"/>
                  </w:tcBorders>
                  <w:shd w:val="clear" w:color="auto" w:fill="auto"/>
                  <w:vAlign w:val="center"/>
                </w:tcPr>
                <w:p w14:paraId="55804D85">
                  <w:pPr>
                    <w:widowControl/>
                    <w:textAlignment w:val="center"/>
                    <w:rPr>
                      <w:rFonts w:ascii="宋体" w:hAnsi="宋体" w:eastAsia="宋体" w:cs="宋体"/>
                      <w:kern w:val="0"/>
                      <w:szCs w:val="21"/>
                      <w:lang w:bidi="ar"/>
                    </w:rPr>
                  </w:pPr>
                  <w:r>
                    <w:rPr>
                      <w:rFonts w:ascii="宋体" w:hAnsi="宋体" w:eastAsia="宋体" w:cs="宋体"/>
                      <w:kern w:val="0"/>
                      <w:szCs w:val="21"/>
                      <w:lang w:bidi="ar"/>
                    </w:rPr>
                    <w:t>实现并发快速在线备份、恢复及数据验证功能，</w:t>
                  </w:r>
                  <w:r>
                    <w:rPr>
                      <w:rFonts w:hint="eastAsia" w:ascii="宋体" w:hAnsi="宋体" w:eastAsia="宋体" w:cs="宋体"/>
                      <w:kern w:val="0"/>
                      <w:szCs w:val="21"/>
                      <w:lang w:bidi="ar"/>
                    </w:rPr>
                    <w:t>与现有离线备份系统</w:t>
                  </w:r>
                  <w:r>
                    <w:rPr>
                      <w:rFonts w:ascii="宋体" w:hAnsi="宋体" w:eastAsia="宋体" w:cs="宋体"/>
                      <w:kern w:val="0"/>
                      <w:szCs w:val="21"/>
                      <w:lang w:bidi="ar"/>
                    </w:rPr>
                    <w:t>形成完整的数据备份体系。</w:t>
                  </w:r>
                </w:p>
              </w:tc>
            </w:tr>
          </w:tbl>
          <w:p w14:paraId="1E0066CD">
            <w:pPr>
              <w:ind w:firstLine="514"/>
              <w:jc w:val="left"/>
              <w:rPr>
                <w:rFonts w:ascii="仿宋_GB2312" w:cs="宋体" w:hAnsiTheme="minorEastAsia"/>
                <w:b/>
                <w:color w:val="FF0000"/>
                <w:szCs w:val="21"/>
                <w:highlight w:val="yellow"/>
              </w:rPr>
            </w:pPr>
            <w:r>
              <w:rPr>
                <w:rFonts w:hint="eastAsia" w:ascii="宋体" w:hAnsi="宋体" w:eastAsia="宋体" w:cs="宋体"/>
                <w:color w:val="FF0000"/>
                <w:szCs w:val="21"/>
              </w:rPr>
              <w:t>注：网络安全法律法规、管理条例及上级单位文件要求在不断地发布、更新，网络安全建设是一个不断发展和完善的过程，故此承建单位需在服务期内按照法律法规、管理条例及上级单位文件要求调整以及提供未在服务清单范围内的内容，以满足医院对于网络安全管理的基本要求，承建单位应根据项目实际安全运维情况，配置足够的安全和检查管理工具，用于安全检查和日常作业。</w:t>
            </w:r>
          </w:p>
        </w:tc>
      </w:tr>
      <w:tr w14:paraId="526C59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rHeight w:val="112" w:hRule="atLeast"/>
          <w:tblCellSpacing w:w="0" w:type="dxa"/>
          <w:jc w:val="center"/>
        </w:trPr>
        <w:tc>
          <w:tcPr>
            <w:tcW w:w="917" w:type="dxa"/>
            <w:vAlign w:val="center"/>
          </w:tcPr>
          <w:p w14:paraId="78B727C8">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商务需求</w:t>
            </w:r>
            <w:r>
              <w:rPr>
                <w:rFonts w:ascii="宋体" w:hAnsi="宋体" w:eastAsia="宋体" w:cs="宋体"/>
                <w:kern w:val="0"/>
                <w:sz w:val="20"/>
                <w:szCs w:val="20"/>
              </w:rPr>
              <w:t xml:space="preserve"> </w:t>
            </w:r>
          </w:p>
        </w:tc>
        <w:tc>
          <w:tcPr>
            <w:tcW w:w="9573" w:type="dxa"/>
            <w:gridSpan w:val="3"/>
            <w:vAlign w:val="center"/>
          </w:tcPr>
          <w:p w14:paraId="257E2AFB">
            <w:pPr>
              <w:widowControl/>
              <w:jc w:val="left"/>
              <w:rPr>
                <w:rFonts w:ascii="宋体" w:hAnsi="宋体" w:eastAsia="宋体" w:cs="宋体"/>
                <w:kern w:val="0"/>
                <w:sz w:val="20"/>
                <w:szCs w:val="20"/>
              </w:rPr>
            </w:pPr>
            <w:r>
              <w:rPr>
                <w:rFonts w:ascii="宋体" w:hAnsi="宋体" w:eastAsia="宋体" w:cs="宋体"/>
                <w:kern w:val="0"/>
                <w:sz w:val="20"/>
                <w:szCs w:val="20"/>
              </w:rPr>
              <w:t xml:space="preserve">  </w:t>
            </w:r>
          </w:p>
          <w:tbl>
            <w:tblPr>
              <w:tblStyle w:val="12"/>
              <w:tblW w:w="931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220"/>
              <w:gridCol w:w="1985"/>
              <w:gridCol w:w="6225"/>
            </w:tblGrid>
            <w:tr w14:paraId="028B6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1103" w:type="dxa"/>
                  <w:gridSpan w:val="2"/>
                  <w:vAlign w:val="center"/>
                </w:tcPr>
                <w:p w14:paraId="74439474">
                  <w:pPr>
                    <w:jc w:val="center"/>
                    <w:rPr>
                      <w:b/>
                    </w:rPr>
                  </w:pPr>
                  <w:r>
                    <w:rPr>
                      <w:rFonts w:hint="eastAsia"/>
                      <w:b/>
                    </w:rPr>
                    <w:t>序号</w:t>
                  </w:r>
                </w:p>
              </w:tc>
              <w:tc>
                <w:tcPr>
                  <w:tcW w:w="1985" w:type="dxa"/>
                  <w:vAlign w:val="center"/>
                </w:tcPr>
                <w:p w14:paraId="5FA32BF6">
                  <w:pPr>
                    <w:jc w:val="center"/>
                    <w:rPr>
                      <w:b/>
                    </w:rPr>
                  </w:pPr>
                  <w:r>
                    <w:rPr>
                      <w:rFonts w:hint="eastAsia"/>
                      <w:b/>
                    </w:rPr>
                    <w:t>目录</w:t>
                  </w:r>
                </w:p>
              </w:tc>
              <w:tc>
                <w:tcPr>
                  <w:tcW w:w="6225" w:type="dxa"/>
                  <w:vAlign w:val="center"/>
                </w:tcPr>
                <w:p w14:paraId="11DA6618">
                  <w:pPr>
                    <w:jc w:val="center"/>
                    <w:rPr>
                      <w:b/>
                    </w:rPr>
                  </w:pPr>
                  <w:r>
                    <w:rPr>
                      <w:rFonts w:hint="eastAsia"/>
                      <w:b/>
                    </w:rPr>
                    <w:t>招标商务需求</w:t>
                  </w:r>
                </w:p>
              </w:tc>
            </w:tr>
            <w:tr w14:paraId="07ABB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9313" w:type="dxa"/>
                  <w:gridSpan w:val="4"/>
                </w:tcPr>
                <w:p w14:paraId="38C20E4F">
                  <w:pPr>
                    <w:rPr>
                      <w:b/>
                    </w:rPr>
                  </w:pPr>
                  <w:r>
                    <w:rPr>
                      <w:rFonts w:hint="eastAsia"/>
                      <w:b/>
                    </w:rPr>
                    <w:t>（一）服务要求</w:t>
                  </w:r>
                </w:p>
              </w:tc>
            </w:tr>
            <w:tr w14:paraId="6672F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83" w:type="dxa"/>
                  <w:vAlign w:val="center"/>
                </w:tcPr>
                <w:p w14:paraId="62967432">
                  <w:pPr>
                    <w:jc w:val="center"/>
                    <w:rPr>
                      <w:b/>
                    </w:rPr>
                  </w:pPr>
                  <w:r>
                    <w:rPr>
                      <w:rFonts w:hint="eastAsia"/>
                      <w:b/>
                    </w:rPr>
                    <w:t>1</w:t>
                  </w:r>
                </w:p>
              </w:tc>
              <w:tc>
                <w:tcPr>
                  <w:tcW w:w="2205" w:type="dxa"/>
                  <w:gridSpan w:val="2"/>
                  <w:vAlign w:val="center"/>
                </w:tcPr>
                <w:p w14:paraId="40F49089">
                  <w:r>
                    <w:rPr>
                      <w:rFonts w:hint="eastAsia"/>
                    </w:rPr>
                    <w:t>项目服务期</w:t>
                  </w:r>
                </w:p>
              </w:tc>
              <w:tc>
                <w:tcPr>
                  <w:tcW w:w="6225" w:type="dxa"/>
                </w:tcPr>
                <w:p w14:paraId="0159A09B">
                  <w:pPr>
                    <w:rPr>
                      <w:b/>
                    </w:rPr>
                  </w:pPr>
                  <w:r>
                    <w:rPr>
                      <w:rFonts w:hint="eastAsia"/>
                      <w:bCs/>
                      <w:szCs w:val="21"/>
                    </w:rPr>
                    <w:t>项目整体服务期为签订合同后1年；</w:t>
                  </w:r>
                  <w:r>
                    <w:rPr>
                      <w:rFonts w:hint="eastAsia" w:ascii="仿宋_GB2312" w:hAnsi="宋体" w:cs="宋体"/>
                      <w:kern w:val="0"/>
                      <w:szCs w:val="21"/>
                    </w:rPr>
                    <w:t>（1年后服务评价为优可续签合同，一年一签，续签次数最多不超过2年）</w:t>
                  </w:r>
                  <w:r>
                    <w:rPr>
                      <w:rFonts w:hint="eastAsia"/>
                      <w:bCs/>
                      <w:szCs w:val="21"/>
                    </w:rPr>
                    <w:t>。</w:t>
                  </w:r>
                </w:p>
              </w:tc>
            </w:tr>
            <w:tr w14:paraId="0543E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83" w:type="dxa"/>
                  <w:vAlign w:val="center"/>
                </w:tcPr>
                <w:p w14:paraId="6455472D">
                  <w:pPr>
                    <w:jc w:val="center"/>
                    <w:rPr>
                      <w:b/>
                    </w:rPr>
                  </w:pPr>
                  <w:r>
                    <w:rPr>
                      <w:rFonts w:hint="eastAsia"/>
                      <w:b/>
                    </w:rPr>
                    <w:t>2</w:t>
                  </w:r>
                </w:p>
              </w:tc>
              <w:tc>
                <w:tcPr>
                  <w:tcW w:w="2205" w:type="dxa"/>
                  <w:gridSpan w:val="2"/>
                  <w:vAlign w:val="center"/>
                </w:tcPr>
                <w:p w14:paraId="36988115">
                  <w:r>
                    <w:rPr>
                      <w:rFonts w:hint="eastAsia"/>
                    </w:rPr>
                    <w:t>项目服务地点</w:t>
                  </w:r>
                </w:p>
              </w:tc>
              <w:tc>
                <w:tcPr>
                  <w:tcW w:w="6225" w:type="dxa"/>
                  <w:vAlign w:val="center"/>
                </w:tcPr>
                <w:p w14:paraId="139CE683">
                  <w:pPr>
                    <w:rPr>
                      <w:bCs/>
                      <w:szCs w:val="21"/>
                    </w:rPr>
                  </w:pPr>
                  <w:r>
                    <w:rPr>
                      <w:rFonts w:hint="eastAsia"/>
                      <w:bCs/>
                      <w:szCs w:val="21"/>
                    </w:rPr>
                    <w:t>南方医科大学深圳口腔医院（坪山）</w:t>
                  </w:r>
                </w:p>
              </w:tc>
            </w:tr>
            <w:tr w14:paraId="6E933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883" w:type="dxa"/>
                  <w:vAlign w:val="center"/>
                </w:tcPr>
                <w:p w14:paraId="1925AC72">
                  <w:pPr>
                    <w:jc w:val="center"/>
                    <w:rPr>
                      <w:b/>
                    </w:rPr>
                  </w:pPr>
                  <w:r>
                    <w:rPr>
                      <w:rFonts w:hint="eastAsia"/>
                      <w:b/>
                    </w:rPr>
                    <w:t>3</w:t>
                  </w:r>
                </w:p>
              </w:tc>
              <w:tc>
                <w:tcPr>
                  <w:tcW w:w="2205" w:type="dxa"/>
                  <w:gridSpan w:val="2"/>
                  <w:vAlign w:val="center"/>
                </w:tcPr>
                <w:p w14:paraId="5555451D">
                  <w:r>
                    <w:rPr>
                      <w:rFonts w:hint="eastAsia"/>
                    </w:rPr>
                    <w:t>响应及故障解决时间</w:t>
                  </w:r>
                </w:p>
              </w:tc>
              <w:tc>
                <w:tcPr>
                  <w:tcW w:w="6225" w:type="dxa"/>
                </w:tcPr>
                <w:p w14:paraId="4349501D">
                  <w:pPr>
                    <w:rPr>
                      <w:b/>
                    </w:rPr>
                  </w:pPr>
                  <w:r>
                    <w:rPr>
                      <w:rFonts w:hint="eastAsia" w:ascii="Calibri" w:hAnsi="Calibri" w:eastAsia="宋体" w:cs="Times New Roman"/>
                      <w:bCs/>
                      <w:szCs w:val="21"/>
                    </w:rPr>
                    <w:t>为医院提供7*24小时响应服务，需1小时内响应，2小时内到达医院现场</w:t>
                  </w:r>
                  <w:r>
                    <w:rPr>
                      <w:rFonts w:hint="eastAsia"/>
                      <w:bCs/>
                      <w:szCs w:val="21"/>
                    </w:rPr>
                    <w:t>。</w:t>
                  </w:r>
                </w:p>
              </w:tc>
            </w:tr>
            <w:tr w14:paraId="2318A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883" w:type="dxa"/>
                  <w:vAlign w:val="center"/>
                </w:tcPr>
                <w:p w14:paraId="207AA4AA">
                  <w:pPr>
                    <w:jc w:val="center"/>
                    <w:rPr>
                      <w:b/>
                    </w:rPr>
                  </w:pPr>
                  <w:r>
                    <w:rPr>
                      <w:rFonts w:hint="eastAsia"/>
                      <w:b/>
                    </w:rPr>
                    <w:t>4</w:t>
                  </w:r>
                </w:p>
              </w:tc>
              <w:tc>
                <w:tcPr>
                  <w:tcW w:w="2205" w:type="dxa"/>
                  <w:gridSpan w:val="2"/>
                  <w:vAlign w:val="center"/>
                </w:tcPr>
                <w:p w14:paraId="1C0BCF06">
                  <w:pPr>
                    <w:rPr>
                      <w:b/>
                    </w:rPr>
                  </w:pPr>
                  <w:r>
                    <w:rPr>
                      <w:rFonts w:hint="eastAsia"/>
                    </w:rPr>
                    <w:t>其他</w:t>
                  </w:r>
                </w:p>
              </w:tc>
              <w:tc>
                <w:tcPr>
                  <w:tcW w:w="6225" w:type="dxa"/>
                  <w:vAlign w:val="center"/>
                </w:tcPr>
                <w:p w14:paraId="0C11D4AD">
                  <w:pPr>
                    <w:rPr>
                      <w:b/>
                    </w:rPr>
                  </w:pPr>
                  <w:r>
                    <w:rPr>
                      <w:rFonts w:hint="eastAsia"/>
                      <w:bCs/>
                      <w:szCs w:val="21"/>
                    </w:rPr>
                    <w:t>因承建人扫描未发现安全威胁导致被上级部门或监管部门通报的，视通报的严重性进行罚款，最高每次罚款额为合同总金额的5%。</w:t>
                  </w:r>
                </w:p>
              </w:tc>
            </w:tr>
            <w:tr w14:paraId="69C70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9313" w:type="dxa"/>
                  <w:gridSpan w:val="4"/>
                </w:tcPr>
                <w:p w14:paraId="04AC8716">
                  <w:pPr>
                    <w:rPr>
                      <w:b/>
                    </w:rPr>
                  </w:pPr>
                  <w:r>
                    <w:rPr>
                      <w:rFonts w:hint="eastAsia"/>
                      <w:b/>
                    </w:rPr>
                    <w:t>（二）其他要求</w:t>
                  </w:r>
                </w:p>
              </w:tc>
            </w:tr>
            <w:tr w14:paraId="711B1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3" w:type="dxa"/>
                  <w:vAlign w:val="center"/>
                </w:tcPr>
                <w:p w14:paraId="126E0057">
                  <w:pPr>
                    <w:jc w:val="center"/>
                    <w:rPr>
                      <w:b/>
                    </w:rPr>
                  </w:pPr>
                  <w:r>
                    <w:rPr>
                      <w:rFonts w:hint="eastAsia"/>
                      <w:b/>
                    </w:rPr>
                    <w:t>1</w:t>
                  </w:r>
                </w:p>
              </w:tc>
              <w:tc>
                <w:tcPr>
                  <w:tcW w:w="2205" w:type="dxa"/>
                  <w:gridSpan w:val="2"/>
                  <w:vAlign w:val="center"/>
                </w:tcPr>
                <w:p w14:paraId="210FC387">
                  <w:r>
                    <w:rPr>
                      <w:rFonts w:hint="eastAsia"/>
                    </w:rPr>
                    <w:t>关于进场</w:t>
                  </w:r>
                </w:p>
              </w:tc>
              <w:tc>
                <w:tcPr>
                  <w:tcW w:w="6225" w:type="dxa"/>
                </w:tcPr>
                <w:p w14:paraId="74CCD52D">
                  <w:pPr>
                    <w:rPr>
                      <w:b/>
                    </w:rPr>
                  </w:pPr>
                  <w:r>
                    <w:rPr>
                      <w:rFonts w:hint="eastAsia"/>
                      <w:bCs/>
                      <w:szCs w:val="21"/>
                    </w:rPr>
                    <w:t>合同签订后，并接医院通知7个工作日内。</w:t>
                  </w:r>
                </w:p>
              </w:tc>
            </w:tr>
            <w:tr w14:paraId="29CB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3" w:type="dxa"/>
                  <w:vAlign w:val="center"/>
                </w:tcPr>
                <w:p w14:paraId="7BD84C70">
                  <w:pPr>
                    <w:jc w:val="center"/>
                    <w:rPr>
                      <w:b/>
                    </w:rPr>
                  </w:pPr>
                  <w:r>
                    <w:rPr>
                      <w:rFonts w:hint="eastAsia"/>
                      <w:b/>
                    </w:rPr>
                    <w:t>2</w:t>
                  </w:r>
                </w:p>
              </w:tc>
              <w:tc>
                <w:tcPr>
                  <w:tcW w:w="2205" w:type="dxa"/>
                  <w:gridSpan w:val="2"/>
                  <w:vAlign w:val="center"/>
                </w:tcPr>
                <w:p w14:paraId="33F95C0D">
                  <w:r>
                    <w:rPr>
                      <w:rFonts w:hint="eastAsia" w:ascii="宋体" w:hAnsi="宋体" w:eastAsia="宋体" w:cs="宋体"/>
                      <w:szCs w:val="21"/>
                    </w:rPr>
                    <w:t>★</w:t>
                  </w:r>
                  <w:r>
                    <w:rPr>
                      <w:bCs/>
                      <w:szCs w:val="21"/>
                    </w:rPr>
                    <w:t>关于验收</w:t>
                  </w:r>
                </w:p>
              </w:tc>
              <w:tc>
                <w:tcPr>
                  <w:tcW w:w="6225" w:type="dxa"/>
                </w:tcPr>
                <w:p w14:paraId="004D1FD7">
                  <w:pPr>
                    <w:rPr>
                      <w:bCs/>
                      <w:szCs w:val="21"/>
                    </w:rPr>
                  </w:pPr>
                  <w:r>
                    <w:rPr>
                      <w:rFonts w:hint="eastAsia"/>
                    </w:rPr>
                    <w:t>所列服务内容须全部完成，合同有效期内按上级及相关部门下发的文件及要求完成相关工作，并形成相关的规范性的工作文档和报告。验收时，提供整年度服务产生的相关文件文档及报告，装订成册并盖章确认。</w:t>
                  </w:r>
                </w:p>
              </w:tc>
            </w:tr>
            <w:tr w14:paraId="4556C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883" w:type="dxa"/>
                  <w:vAlign w:val="center"/>
                </w:tcPr>
                <w:p w14:paraId="3D403E33">
                  <w:pPr>
                    <w:jc w:val="center"/>
                    <w:rPr>
                      <w:b/>
                    </w:rPr>
                  </w:pPr>
                  <w:r>
                    <w:rPr>
                      <w:rFonts w:hint="eastAsia"/>
                      <w:b/>
                    </w:rPr>
                    <w:t>3</w:t>
                  </w:r>
                </w:p>
              </w:tc>
              <w:tc>
                <w:tcPr>
                  <w:tcW w:w="2205" w:type="dxa"/>
                  <w:gridSpan w:val="2"/>
                  <w:vAlign w:val="center"/>
                </w:tcPr>
                <w:p w14:paraId="649F0244">
                  <w:r>
                    <w:rPr>
                      <w:rFonts w:hint="eastAsia"/>
                      <w:bCs/>
                      <w:szCs w:val="21"/>
                    </w:rPr>
                    <w:t>关于付款</w:t>
                  </w:r>
                </w:p>
              </w:tc>
              <w:tc>
                <w:tcPr>
                  <w:tcW w:w="6225" w:type="dxa"/>
                </w:tcPr>
                <w:p w14:paraId="4326DF71">
                  <w:pPr>
                    <w:rPr>
                      <w:bCs/>
                      <w:szCs w:val="21"/>
                    </w:rPr>
                  </w:pPr>
                  <w:r>
                    <w:rPr>
                      <w:rFonts w:hint="eastAsia"/>
                      <w:bCs/>
                      <w:szCs w:val="21"/>
                    </w:rPr>
                    <w:t>合同签订后支付30%款项，服务团队入场后30个工作日内支付项目进度款30%，项目验收合格后支付尾款40%，或根据实际情况再行协商，以最后协商后合同签订的条款为准。</w:t>
                  </w:r>
                </w:p>
              </w:tc>
            </w:tr>
          </w:tbl>
          <w:p w14:paraId="37264686">
            <w:pPr>
              <w:rPr>
                <w:b/>
              </w:rPr>
            </w:pPr>
          </w:p>
        </w:tc>
      </w:tr>
      <w:tr w14:paraId="2705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15" w:type="dxa"/>
            <w:left w:w="15" w:type="dxa"/>
            <w:bottom w:w="15" w:type="dxa"/>
            <w:right w:w="15" w:type="dxa"/>
          </w:tblCellMar>
        </w:tblPrEx>
        <w:trPr>
          <w:tblCellSpacing w:w="0" w:type="dxa"/>
          <w:jc w:val="center"/>
        </w:trPr>
        <w:tc>
          <w:tcPr>
            <w:tcW w:w="917" w:type="dxa"/>
            <w:vAlign w:val="center"/>
          </w:tcPr>
          <w:p w14:paraId="73AC0164">
            <w:pPr>
              <w:widowControl/>
              <w:spacing w:before="100" w:beforeAutospacing="1" w:after="100" w:afterAutospacing="1"/>
              <w:jc w:val="left"/>
              <w:rPr>
                <w:rFonts w:ascii="宋体" w:hAnsi="宋体" w:eastAsia="宋体" w:cs="宋体"/>
                <w:kern w:val="0"/>
                <w:sz w:val="20"/>
                <w:szCs w:val="20"/>
              </w:rPr>
            </w:pPr>
            <w:r>
              <w:rPr>
                <w:rFonts w:ascii="宋体" w:hAnsi="宋体" w:eastAsia="宋体" w:cs="宋体"/>
                <w:b/>
                <w:bCs/>
                <w:kern w:val="0"/>
                <w:sz w:val="20"/>
                <w:szCs w:val="20"/>
              </w:rPr>
              <w:t>其它</w:t>
            </w:r>
            <w:r>
              <w:rPr>
                <w:rFonts w:ascii="宋体" w:hAnsi="宋体" w:eastAsia="宋体" w:cs="宋体"/>
                <w:kern w:val="0"/>
                <w:sz w:val="20"/>
                <w:szCs w:val="20"/>
              </w:rPr>
              <w:t xml:space="preserve"> </w:t>
            </w:r>
          </w:p>
        </w:tc>
        <w:tc>
          <w:tcPr>
            <w:tcW w:w="9573" w:type="dxa"/>
            <w:gridSpan w:val="3"/>
            <w:vAlign w:val="center"/>
          </w:tcPr>
          <w:p w14:paraId="28BE490C">
            <w:pPr>
              <w:widowControl/>
              <w:jc w:val="left"/>
              <w:rPr>
                <w:rFonts w:ascii="宋体" w:hAnsi="宋体" w:eastAsia="宋体" w:cs="宋体"/>
                <w:kern w:val="0"/>
                <w:sz w:val="20"/>
                <w:szCs w:val="20"/>
              </w:rPr>
            </w:pPr>
            <w:r>
              <w:rPr>
                <w:rFonts w:ascii="宋体" w:hAnsi="宋体" w:eastAsia="宋体" w:cs="宋体"/>
                <w:kern w:val="0"/>
                <w:sz w:val="20"/>
                <w:szCs w:val="20"/>
              </w:rPr>
              <w:t xml:space="preserve">  </w:t>
            </w:r>
            <w:r>
              <w:rPr>
                <w:rFonts w:hint="eastAsia" w:ascii="宋体" w:hAnsi="宋体" w:eastAsia="宋体" w:cs="宋体"/>
                <w:kern w:val="0"/>
                <w:sz w:val="20"/>
                <w:szCs w:val="20"/>
              </w:rPr>
              <w:t>无</w:t>
            </w:r>
          </w:p>
        </w:tc>
      </w:tr>
    </w:tbl>
    <w:p w14:paraId="0B5A209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AE9"/>
    <w:rsid w:val="00000EC8"/>
    <w:rsid w:val="000044BC"/>
    <w:rsid w:val="00005A3C"/>
    <w:rsid w:val="00006180"/>
    <w:rsid w:val="00012EE5"/>
    <w:rsid w:val="00016621"/>
    <w:rsid w:val="000210C9"/>
    <w:rsid w:val="00022396"/>
    <w:rsid w:val="00024218"/>
    <w:rsid w:val="00024A31"/>
    <w:rsid w:val="00027F1A"/>
    <w:rsid w:val="00040D64"/>
    <w:rsid w:val="00042112"/>
    <w:rsid w:val="00046274"/>
    <w:rsid w:val="000473FF"/>
    <w:rsid w:val="00050BF6"/>
    <w:rsid w:val="00055166"/>
    <w:rsid w:val="00060D4F"/>
    <w:rsid w:val="00061B01"/>
    <w:rsid w:val="00062B73"/>
    <w:rsid w:val="00063B47"/>
    <w:rsid w:val="00071483"/>
    <w:rsid w:val="0007437E"/>
    <w:rsid w:val="00076D57"/>
    <w:rsid w:val="0007768D"/>
    <w:rsid w:val="00081625"/>
    <w:rsid w:val="00081840"/>
    <w:rsid w:val="00081DCA"/>
    <w:rsid w:val="00084873"/>
    <w:rsid w:val="00093990"/>
    <w:rsid w:val="00096B4C"/>
    <w:rsid w:val="00097F39"/>
    <w:rsid w:val="000A334F"/>
    <w:rsid w:val="000A49D1"/>
    <w:rsid w:val="000B53F6"/>
    <w:rsid w:val="000B5C11"/>
    <w:rsid w:val="000C1635"/>
    <w:rsid w:val="000C3C06"/>
    <w:rsid w:val="000C4521"/>
    <w:rsid w:val="000C4D3B"/>
    <w:rsid w:val="000C5BD2"/>
    <w:rsid w:val="000C7B22"/>
    <w:rsid w:val="000D0B15"/>
    <w:rsid w:val="000D3D07"/>
    <w:rsid w:val="000D5954"/>
    <w:rsid w:val="000E24AF"/>
    <w:rsid w:val="000F1131"/>
    <w:rsid w:val="000F2912"/>
    <w:rsid w:val="000F4B73"/>
    <w:rsid w:val="000F6DE9"/>
    <w:rsid w:val="000F6ECB"/>
    <w:rsid w:val="00100612"/>
    <w:rsid w:val="001032B7"/>
    <w:rsid w:val="001076B3"/>
    <w:rsid w:val="00111D33"/>
    <w:rsid w:val="00111F90"/>
    <w:rsid w:val="001221C6"/>
    <w:rsid w:val="00130732"/>
    <w:rsid w:val="0013706B"/>
    <w:rsid w:val="00142893"/>
    <w:rsid w:val="001503DC"/>
    <w:rsid w:val="00161B64"/>
    <w:rsid w:val="00162B46"/>
    <w:rsid w:val="001640D5"/>
    <w:rsid w:val="00171162"/>
    <w:rsid w:val="001719E7"/>
    <w:rsid w:val="0017382F"/>
    <w:rsid w:val="00176700"/>
    <w:rsid w:val="001818F0"/>
    <w:rsid w:val="0018247A"/>
    <w:rsid w:val="00185417"/>
    <w:rsid w:val="0018666A"/>
    <w:rsid w:val="00187EE9"/>
    <w:rsid w:val="00191CF3"/>
    <w:rsid w:val="001967B4"/>
    <w:rsid w:val="001A02FA"/>
    <w:rsid w:val="001A049C"/>
    <w:rsid w:val="001A72B9"/>
    <w:rsid w:val="001B069C"/>
    <w:rsid w:val="001B7E13"/>
    <w:rsid w:val="001C1A48"/>
    <w:rsid w:val="001D171F"/>
    <w:rsid w:val="001D7F4B"/>
    <w:rsid w:val="001E01F8"/>
    <w:rsid w:val="001E6A63"/>
    <w:rsid w:val="001E77E9"/>
    <w:rsid w:val="001F52AF"/>
    <w:rsid w:val="0020242F"/>
    <w:rsid w:val="00206B02"/>
    <w:rsid w:val="00206BEF"/>
    <w:rsid w:val="00207D83"/>
    <w:rsid w:val="00225EB5"/>
    <w:rsid w:val="00227E12"/>
    <w:rsid w:val="00230FBA"/>
    <w:rsid w:val="002357AD"/>
    <w:rsid w:val="00236A92"/>
    <w:rsid w:val="00237E82"/>
    <w:rsid w:val="00243C1B"/>
    <w:rsid w:val="00250E77"/>
    <w:rsid w:val="00252A73"/>
    <w:rsid w:val="00254BAE"/>
    <w:rsid w:val="002554F1"/>
    <w:rsid w:val="00257AFD"/>
    <w:rsid w:val="00260B5F"/>
    <w:rsid w:val="002639FF"/>
    <w:rsid w:val="0026640B"/>
    <w:rsid w:val="00266845"/>
    <w:rsid w:val="002678F0"/>
    <w:rsid w:val="00277842"/>
    <w:rsid w:val="00277F64"/>
    <w:rsid w:val="00284D25"/>
    <w:rsid w:val="00287206"/>
    <w:rsid w:val="002876E2"/>
    <w:rsid w:val="002902D8"/>
    <w:rsid w:val="00290E3F"/>
    <w:rsid w:val="002918F2"/>
    <w:rsid w:val="00291FD5"/>
    <w:rsid w:val="00296C3F"/>
    <w:rsid w:val="002A0E6D"/>
    <w:rsid w:val="002A0FFC"/>
    <w:rsid w:val="002A5544"/>
    <w:rsid w:val="002A63BB"/>
    <w:rsid w:val="002A6525"/>
    <w:rsid w:val="002B4D98"/>
    <w:rsid w:val="002B5648"/>
    <w:rsid w:val="002B5E09"/>
    <w:rsid w:val="002B5ECA"/>
    <w:rsid w:val="002B6E40"/>
    <w:rsid w:val="002C20AE"/>
    <w:rsid w:val="002C335B"/>
    <w:rsid w:val="002D1C4F"/>
    <w:rsid w:val="002D27ED"/>
    <w:rsid w:val="002E340A"/>
    <w:rsid w:val="002F076D"/>
    <w:rsid w:val="002F299C"/>
    <w:rsid w:val="002F4520"/>
    <w:rsid w:val="002F6D1D"/>
    <w:rsid w:val="00301720"/>
    <w:rsid w:val="003019B0"/>
    <w:rsid w:val="00302C81"/>
    <w:rsid w:val="00303128"/>
    <w:rsid w:val="0030385D"/>
    <w:rsid w:val="003054E1"/>
    <w:rsid w:val="003056E4"/>
    <w:rsid w:val="003060A3"/>
    <w:rsid w:val="00311384"/>
    <w:rsid w:val="0031483D"/>
    <w:rsid w:val="0032096F"/>
    <w:rsid w:val="00320A7E"/>
    <w:rsid w:val="00321F67"/>
    <w:rsid w:val="003223D3"/>
    <w:rsid w:val="003233B7"/>
    <w:rsid w:val="00331E39"/>
    <w:rsid w:val="0033377A"/>
    <w:rsid w:val="00334579"/>
    <w:rsid w:val="00336590"/>
    <w:rsid w:val="00342AC5"/>
    <w:rsid w:val="003441F6"/>
    <w:rsid w:val="0035076A"/>
    <w:rsid w:val="00352FF0"/>
    <w:rsid w:val="00355B29"/>
    <w:rsid w:val="00361CC6"/>
    <w:rsid w:val="0036201A"/>
    <w:rsid w:val="00363931"/>
    <w:rsid w:val="00363CF4"/>
    <w:rsid w:val="00370B68"/>
    <w:rsid w:val="00370DF4"/>
    <w:rsid w:val="0037313E"/>
    <w:rsid w:val="0037494A"/>
    <w:rsid w:val="0037521A"/>
    <w:rsid w:val="00375696"/>
    <w:rsid w:val="003766BB"/>
    <w:rsid w:val="00377ACB"/>
    <w:rsid w:val="003839B5"/>
    <w:rsid w:val="00390626"/>
    <w:rsid w:val="0039342F"/>
    <w:rsid w:val="00394830"/>
    <w:rsid w:val="003A0C79"/>
    <w:rsid w:val="003A31C5"/>
    <w:rsid w:val="003A38A0"/>
    <w:rsid w:val="003A46FA"/>
    <w:rsid w:val="003A5378"/>
    <w:rsid w:val="003A602F"/>
    <w:rsid w:val="003A62FA"/>
    <w:rsid w:val="003B338F"/>
    <w:rsid w:val="003B6607"/>
    <w:rsid w:val="003B7DFA"/>
    <w:rsid w:val="003C2FF7"/>
    <w:rsid w:val="003C4AD3"/>
    <w:rsid w:val="003C4E9E"/>
    <w:rsid w:val="003C7698"/>
    <w:rsid w:val="003D0224"/>
    <w:rsid w:val="003D2D47"/>
    <w:rsid w:val="003D3B89"/>
    <w:rsid w:val="003D3DA4"/>
    <w:rsid w:val="003D410A"/>
    <w:rsid w:val="003D4336"/>
    <w:rsid w:val="003D4974"/>
    <w:rsid w:val="003D5565"/>
    <w:rsid w:val="003E462A"/>
    <w:rsid w:val="003F371C"/>
    <w:rsid w:val="00405F2E"/>
    <w:rsid w:val="00407D1B"/>
    <w:rsid w:val="00417349"/>
    <w:rsid w:val="0042359D"/>
    <w:rsid w:val="00425D12"/>
    <w:rsid w:val="00425E00"/>
    <w:rsid w:val="00427892"/>
    <w:rsid w:val="0043050C"/>
    <w:rsid w:val="004334A7"/>
    <w:rsid w:val="00435F5A"/>
    <w:rsid w:val="00441374"/>
    <w:rsid w:val="00442812"/>
    <w:rsid w:val="00444170"/>
    <w:rsid w:val="00444F08"/>
    <w:rsid w:val="00445E3F"/>
    <w:rsid w:val="00452FA7"/>
    <w:rsid w:val="00455005"/>
    <w:rsid w:val="0045505A"/>
    <w:rsid w:val="004563F7"/>
    <w:rsid w:val="00460633"/>
    <w:rsid w:val="00460960"/>
    <w:rsid w:val="00461517"/>
    <w:rsid w:val="004628E1"/>
    <w:rsid w:val="00462C27"/>
    <w:rsid w:val="00470B6F"/>
    <w:rsid w:val="00471A3B"/>
    <w:rsid w:val="004731F5"/>
    <w:rsid w:val="00473781"/>
    <w:rsid w:val="0047450A"/>
    <w:rsid w:val="00476019"/>
    <w:rsid w:val="0047631A"/>
    <w:rsid w:val="0048350A"/>
    <w:rsid w:val="00486FCA"/>
    <w:rsid w:val="004935AF"/>
    <w:rsid w:val="00494243"/>
    <w:rsid w:val="004958A6"/>
    <w:rsid w:val="004A14E0"/>
    <w:rsid w:val="004A16A1"/>
    <w:rsid w:val="004A33E4"/>
    <w:rsid w:val="004A6496"/>
    <w:rsid w:val="004A68E1"/>
    <w:rsid w:val="004B0BB6"/>
    <w:rsid w:val="004B6D27"/>
    <w:rsid w:val="004C0736"/>
    <w:rsid w:val="004C2143"/>
    <w:rsid w:val="004C218C"/>
    <w:rsid w:val="004C2EEF"/>
    <w:rsid w:val="004C3F84"/>
    <w:rsid w:val="004C5CAF"/>
    <w:rsid w:val="004C66C0"/>
    <w:rsid w:val="004D3AE3"/>
    <w:rsid w:val="004D4370"/>
    <w:rsid w:val="004E7C1A"/>
    <w:rsid w:val="004F7DD5"/>
    <w:rsid w:val="00500EA4"/>
    <w:rsid w:val="00507A3D"/>
    <w:rsid w:val="0051104B"/>
    <w:rsid w:val="00513F12"/>
    <w:rsid w:val="00521192"/>
    <w:rsid w:val="00522635"/>
    <w:rsid w:val="00524EDA"/>
    <w:rsid w:val="005305BB"/>
    <w:rsid w:val="00530D69"/>
    <w:rsid w:val="005320C4"/>
    <w:rsid w:val="00545A25"/>
    <w:rsid w:val="005462F3"/>
    <w:rsid w:val="00546EEC"/>
    <w:rsid w:val="0055545A"/>
    <w:rsid w:val="0056006D"/>
    <w:rsid w:val="00560AEC"/>
    <w:rsid w:val="00561185"/>
    <w:rsid w:val="0056286D"/>
    <w:rsid w:val="00563B8F"/>
    <w:rsid w:val="00566B08"/>
    <w:rsid w:val="005679AE"/>
    <w:rsid w:val="00567BA9"/>
    <w:rsid w:val="0057501A"/>
    <w:rsid w:val="00576E1B"/>
    <w:rsid w:val="00577C38"/>
    <w:rsid w:val="0058115E"/>
    <w:rsid w:val="005842CA"/>
    <w:rsid w:val="005911AF"/>
    <w:rsid w:val="0059288C"/>
    <w:rsid w:val="00594DBA"/>
    <w:rsid w:val="005A12EF"/>
    <w:rsid w:val="005A138E"/>
    <w:rsid w:val="005A2D91"/>
    <w:rsid w:val="005A4CB8"/>
    <w:rsid w:val="005A50E9"/>
    <w:rsid w:val="005A5604"/>
    <w:rsid w:val="005A6E97"/>
    <w:rsid w:val="005A7F1A"/>
    <w:rsid w:val="005B067D"/>
    <w:rsid w:val="005B087E"/>
    <w:rsid w:val="005B5ABC"/>
    <w:rsid w:val="005C368A"/>
    <w:rsid w:val="005C580F"/>
    <w:rsid w:val="005C6994"/>
    <w:rsid w:val="005C71D1"/>
    <w:rsid w:val="005D55FC"/>
    <w:rsid w:val="005D5AE9"/>
    <w:rsid w:val="005E0213"/>
    <w:rsid w:val="005E06EF"/>
    <w:rsid w:val="005E1B85"/>
    <w:rsid w:val="005F1640"/>
    <w:rsid w:val="005F1D5A"/>
    <w:rsid w:val="005F4E94"/>
    <w:rsid w:val="005F7362"/>
    <w:rsid w:val="00602450"/>
    <w:rsid w:val="00607094"/>
    <w:rsid w:val="00612B56"/>
    <w:rsid w:val="00615A7A"/>
    <w:rsid w:val="00616B14"/>
    <w:rsid w:val="006204AC"/>
    <w:rsid w:val="006242FD"/>
    <w:rsid w:val="0062540C"/>
    <w:rsid w:val="006327BB"/>
    <w:rsid w:val="00632953"/>
    <w:rsid w:val="00632E3F"/>
    <w:rsid w:val="00633C9D"/>
    <w:rsid w:val="0063463D"/>
    <w:rsid w:val="00634812"/>
    <w:rsid w:val="00636C55"/>
    <w:rsid w:val="00643136"/>
    <w:rsid w:val="00646556"/>
    <w:rsid w:val="00646CC9"/>
    <w:rsid w:val="006616C6"/>
    <w:rsid w:val="00663C02"/>
    <w:rsid w:val="00665B79"/>
    <w:rsid w:val="00670AF6"/>
    <w:rsid w:val="00671450"/>
    <w:rsid w:val="00677199"/>
    <w:rsid w:val="006820A1"/>
    <w:rsid w:val="006823FA"/>
    <w:rsid w:val="00684663"/>
    <w:rsid w:val="00685465"/>
    <w:rsid w:val="00686EAC"/>
    <w:rsid w:val="00695829"/>
    <w:rsid w:val="006A03C8"/>
    <w:rsid w:val="006A0543"/>
    <w:rsid w:val="006A36B4"/>
    <w:rsid w:val="006A4B52"/>
    <w:rsid w:val="006B4DA0"/>
    <w:rsid w:val="006C0C6A"/>
    <w:rsid w:val="006C14A7"/>
    <w:rsid w:val="006C6AAF"/>
    <w:rsid w:val="006C77CB"/>
    <w:rsid w:val="006C7FEA"/>
    <w:rsid w:val="006D2365"/>
    <w:rsid w:val="006D35F5"/>
    <w:rsid w:val="006E034D"/>
    <w:rsid w:val="006E0F29"/>
    <w:rsid w:val="006E3932"/>
    <w:rsid w:val="006E3BDF"/>
    <w:rsid w:val="006E6ABD"/>
    <w:rsid w:val="006E6CDC"/>
    <w:rsid w:val="006F6068"/>
    <w:rsid w:val="00700BFA"/>
    <w:rsid w:val="007050D0"/>
    <w:rsid w:val="00706315"/>
    <w:rsid w:val="00721481"/>
    <w:rsid w:val="00722799"/>
    <w:rsid w:val="007278DD"/>
    <w:rsid w:val="007326BE"/>
    <w:rsid w:val="00732EDF"/>
    <w:rsid w:val="0073410B"/>
    <w:rsid w:val="007354E0"/>
    <w:rsid w:val="00737114"/>
    <w:rsid w:val="00740B8E"/>
    <w:rsid w:val="00743B8A"/>
    <w:rsid w:val="00744299"/>
    <w:rsid w:val="00745165"/>
    <w:rsid w:val="00745BFD"/>
    <w:rsid w:val="00746E5A"/>
    <w:rsid w:val="00747788"/>
    <w:rsid w:val="0075744B"/>
    <w:rsid w:val="0075797B"/>
    <w:rsid w:val="00760E5F"/>
    <w:rsid w:val="00761371"/>
    <w:rsid w:val="00762613"/>
    <w:rsid w:val="0076541D"/>
    <w:rsid w:val="00772249"/>
    <w:rsid w:val="007749AE"/>
    <w:rsid w:val="00780C96"/>
    <w:rsid w:val="007854FC"/>
    <w:rsid w:val="00790729"/>
    <w:rsid w:val="0079446A"/>
    <w:rsid w:val="00795AF1"/>
    <w:rsid w:val="00797F6C"/>
    <w:rsid w:val="007A1717"/>
    <w:rsid w:val="007A17A1"/>
    <w:rsid w:val="007A2A79"/>
    <w:rsid w:val="007B05B0"/>
    <w:rsid w:val="007B18D9"/>
    <w:rsid w:val="007B3EBF"/>
    <w:rsid w:val="007B655D"/>
    <w:rsid w:val="007C3FEC"/>
    <w:rsid w:val="007C748B"/>
    <w:rsid w:val="007D2483"/>
    <w:rsid w:val="007D2C6F"/>
    <w:rsid w:val="007D40C2"/>
    <w:rsid w:val="007D747C"/>
    <w:rsid w:val="007E0ACC"/>
    <w:rsid w:val="007E505C"/>
    <w:rsid w:val="007E73DC"/>
    <w:rsid w:val="007F009E"/>
    <w:rsid w:val="007F1E54"/>
    <w:rsid w:val="007F3201"/>
    <w:rsid w:val="007F36F5"/>
    <w:rsid w:val="007F58FF"/>
    <w:rsid w:val="007F6DEF"/>
    <w:rsid w:val="00811FC9"/>
    <w:rsid w:val="008151D5"/>
    <w:rsid w:val="00820C7D"/>
    <w:rsid w:val="00824F62"/>
    <w:rsid w:val="008251D3"/>
    <w:rsid w:val="00830D24"/>
    <w:rsid w:val="00830F85"/>
    <w:rsid w:val="00832404"/>
    <w:rsid w:val="00832777"/>
    <w:rsid w:val="00836810"/>
    <w:rsid w:val="00840D94"/>
    <w:rsid w:val="0084110D"/>
    <w:rsid w:val="008606E1"/>
    <w:rsid w:val="00873AA2"/>
    <w:rsid w:val="0087509D"/>
    <w:rsid w:val="00875724"/>
    <w:rsid w:val="008759C8"/>
    <w:rsid w:val="00876293"/>
    <w:rsid w:val="00877BA2"/>
    <w:rsid w:val="008801EA"/>
    <w:rsid w:val="008834A1"/>
    <w:rsid w:val="00886225"/>
    <w:rsid w:val="00892632"/>
    <w:rsid w:val="00892860"/>
    <w:rsid w:val="0089427B"/>
    <w:rsid w:val="008A3BC8"/>
    <w:rsid w:val="008A61A8"/>
    <w:rsid w:val="008A7F8A"/>
    <w:rsid w:val="008B0E18"/>
    <w:rsid w:val="008B651E"/>
    <w:rsid w:val="008C0124"/>
    <w:rsid w:val="008C1D6C"/>
    <w:rsid w:val="008C42F7"/>
    <w:rsid w:val="008C6EAD"/>
    <w:rsid w:val="008E1C32"/>
    <w:rsid w:val="008E23E8"/>
    <w:rsid w:val="008E2EEC"/>
    <w:rsid w:val="008E4C4C"/>
    <w:rsid w:val="008E4CFE"/>
    <w:rsid w:val="008E741A"/>
    <w:rsid w:val="008F048E"/>
    <w:rsid w:val="008F190C"/>
    <w:rsid w:val="008F777E"/>
    <w:rsid w:val="008F7FF8"/>
    <w:rsid w:val="009035E5"/>
    <w:rsid w:val="00912805"/>
    <w:rsid w:val="00914867"/>
    <w:rsid w:val="00921528"/>
    <w:rsid w:val="00923B0C"/>
    <w:rsid w:val="00933D10"/>
    <w:rsid w:val="00935847"/>
    <w:rsid w:val="00941A80"/>
    <w:rsid w:val="00943BFC"/>
    <w:rsid w:val="00950321"/>
    <w:rsid w:val="009511AD"/>
    <w:rsid w:val="0095159A"/>
    <w:rsid w:val="00952270"/>
    <w:rsid w:val="009605C9"/>
    <w:rsid w:val="00961439"/>
    <w:rsid w:val="0096213B"/>
    <w:rsid w:val="0096386E"/>
    <w:rsid w:val="00966872"/>
    <w:rsid w:val="009675F0"/>
    <w:rsid w:val="00972522"/>
    <w:rsid w:val="00974B4D"/>
    <w:rsid w:val="00985292"/>
    <w:rsid w:val="00987678"/>
    <w:rsid w:val="009A5EC6"/>
    <w:rsid w:val="009A7CE9"/>
    <w:rsid w:val="009B2A5B"/>
    <w:rsid w:val="009B579C"/>
    <w:rsid w:val="009C7830"/>
    <w:rsid w:val="009C7B9C"/>
    <w:rsid w:val="009D0A2D"/>
    <w:rsid w:val="009D0C96"/>
    <w:rsid w:val="009D3516"/>
    <w:rsid w:val="009D5B75"/>
    <w:rsid w:val="009D7684"/>
    <w:rsid w:val="009E09E3"/>
    <w:rsid w:val="009E4AC8"/>
    <w:rsid w:val="009E4CA7"/>
    <w:rsid w:val="009E69E3"/>
    <w:rsid w:val="009F17B3"/>
    <w:rsid w:val="009F3619"/>
    <w:rsid w:val="00A039C8"/>
    <w:rsid w:val="00A05CD1"/>
    <w:rsid w:val="00A104F7"/>
    <w:rsid w:val="00A1655C"/>
    <w:rsid w:val="00A1708A"/>
    <w:rsid w:val="00A17277"/>
    <w:rsid w:val="00A2010F"/>
    <w:rsid w:val="00A209CE"/>
    <w:rsid w:val="00A24989"/>
    <w:rsid w:val="00A2546C"/>
    <w:rsid w:val="00A31D18"/>
    <w:rsid w:val="00A41DBF"/>
    <w:rsid w:val="00A44854"/>
    <w:rsid w:val="00A46118"/>
    <w:rsid w:val="00A478DF"/>
    <w:rsid w:val="00A5044D"/>
    <w:rsid w:val="00A50E60"/>
    <w:rsid w:val="00A554FE"/>
    <w:rsid w:val="00A60F75"/>
    <w:rsid w:val="00A616DE"/>
    <w:rsid w:val="00A62067"/>
    <w:rsid w:val="00A63E04"/>
    <w:rsid w:val="00A63FB9"/>
    <w:rsid w:val="00A66B9D"/>
    <w:rsid w:val="00A67F19"/>
    <w:rsid w:val="00A70D93"/>
    <w:rsid w:val="00A71329"/>
    <w:rsid w:val="00A748C4"/>
    <w:rsid w:val="00A759AC"/>
    <w:rsid w:val="00A77C20"/>
    <w:rsid w:val="00A81187"/>
    <w:rsid w:val="00A8412D"/>
    <w:rsid w:val="00A95425"/>
    <w:rsid w:val="00A96E22"/>
    <w:rsid w:val="00A9799A"/>
    <w:rsid w:val="00AA1790"/>
    <w:rsid w:val="00AA614D"/>
    <w:rsid w:val="00AB0CE6"/>
    <w:rsid w:val="00AB3FB8"/>
    <w:rsid w:val="00AB58FA"/>
    <w:rsid w:val="00AB7D60"/>
    <w:rsid w:val="00AC06FD"/>
    <w:rsid w:val="00AC1882"/>
    <w:rsid w:val="00AC4F59"/>
    <w:rsid w:val="00AD0546"/>
    <w:rsid w:val="00AD1265"/>
    <w:rsid w:val="00AD71AB"/>
    <w:rsid w:val="00AE0C6A"/>
    <w:rsid w:val="00AE7B08"/>
    <w:rsid w:val="00AF07A9"/>
    <w:rsid w:val="00AF546E"/>
    <w:rsid w:val="00AF5A7A"/>
    <w:rsid w:val="00AF5C6E"/>
    <w:rsid w:val="00AF7F05"/>
    <w:rsid w:val="00B050F8"/>
    <w:rsid w:val="00B06840"/>
    <w:rsid w:val="00B163BE"/>
    <w:rsid w:val="00B16C71"/>
    <w:rsid w:val="00B17076"/>
    <w:rsid w:val="00B21EEA"/>
    <w:rsid w:val="00B2383E"/>
    <w:rsid w:val="00B2548C"/>
    <w:rsid w:val="00B25961"/>
    <w:rsid w:val="00B42095"/>
    <w:rsid w:val="00B4247F"/>
    <w:rsid w:val="00B446A3"/>
    <w:rsid w:val="00B51270"/>
    <w:rsid w:val="00B51962"/>
    <w:rsid w:val="00B565A0"/>
    <w:rsid w:val="00B63750"/>
    <w:rsid w:val="00B64AB8"/>
    <w:rsid w:val="00B65773"/>
    <w:rsid w:val="00B658AC"/>
    <w:rsid w:val="00B70755"/>
    <w:rsid w:val="00B8096B"/>
    <w:rsid w:val="00B83890"/>
    <w:rsid w:val="00B91DCF"/>
    <w:rsid w:val="00B9273F"/>
    <w:rsid w:val="00B95726"/>
    <w:rsid w:val="00BC2577"/>
    <w:rsid w:val="00BC5BE4"/>
    <w:rsid w:val="00BD0FDF"/>
    <w:rsid w:val="00BD1D19"/>
    <w:rsid w:val="00BD4CD7"/>
    <w:rsid w:val="00BD5CEC"/>
    <w:rsid w:val="00BD70A4"/>
    <w:rsid w:val="00BE1C20"/>
    <w:rsid w:val="00BE1F04"/>
    <w:rsid w:val="00BE2809"/>
    <w:rsid w:val="00BE4ADA"/>
    <w:rsid w:val="00BE53E4"/>
    <w:rsid w:val="00BE5E02"/>
    <w:rsid w:val="00BE734C"/>
    <w:rsid w:val="00BE79F2"/>
    <w:rsid w:val="00BF0DBE"/>
    <w:rsid w:val="00BF306B"/>
    <w:rsid w:val="00BF59DC"/>
    <w:rsid w:val="00C03F66"/>
    <w:rsid w:val="00C1049A"/>
    <w:rsid w:val="00C117D0"/>
    <w:rsid w:val="00C118E3"/>
    <w:rsid w:val="00C12AB8"/>
    <w:rsid w:val="00C15302"/>
    <w:rsid w:val="00C17BEF"/>
    <w:rsid w:val="00C353A0"/>
    <w:rsid w:val="00C359D7"/>
    <w:rsid w:val="00C37F7A"/>
    <w:rsid w:val="00C432C9"/>
    <w:rsid w:val="00C43C54"/>
    <w:rsid w:val="00C445B3"/>
    <w:rsid w:val="00C44660"/>
    <w:rsid w:val="00C46212"/>
    <w:rsid w:val="00C50F10"/>
    <w:rsid w:val="00C532CF"/>
    <w:rsid w:val="00C5474B"/>
    <w:rsid w:val="00C54BBD"/>
    <w:rsid w:val="00C6411C"/>
    <w:rsid w:val="00C701B2"/>
    <w:rsid w:val="00C70B34"/>
    <w:rsid w:val="00C710EE"/>
    <w:rsid w:val="00C73C71"/>
    <w:rsid w:val="00C80A1A"/>
    <w:rsid w:val="00C81719"/>
    <w:rsid w:val="00C82F7A"/>
    <w:rsid w:val="00C87295"/>
    <w:rsid w:val="00C905E1"/>
    <w:rsid w:val="00C942EC"/>
    <w:rsid w:val="00C97C25"/>
    <w:rsid w:val="00CA0478"/>
    <w:rsid w:val="00CA0D25"/>
    <w:rsid w:val="00CA2806"/>
    <w:rsid w:val="00CA3B65"/>
    <w:rsid w:val="00CB0349"/>
    <w:rsid w:val="00CB3275"/>
    <w:rsid w:val="00CC205B"/>
    <w:rsid w:val="00CC2BC7"/>
    <w:rsid w:val="00CD0195"/>
    <w:rsid w:val="00CD0D02"/>
    <w:rsid w:val="00CE0B92"/>
    <w:rsid w:val="00CE274A"/>
    <w:rsid w:val="00CE3AD8"/>
    <w:rsid w:val="00CF2AFF"/>
    <w:rsid w:val="00CF3172"/>
    <w:rsid w:val="00D009C5"/>
    <w:rsid w:val="00D0414D"/>
    <w:rsid w:val="00D052E6"/>
    <w:rsid w:val="00D06779"/>
    <w:rsid w:val="00D10DB4"/>
    <w:rsid w:val="00D11F48"/>
    <w:rsid w:val="00D207BF"/>
    <w:rsid w:val="00D21FD1"/>
    <w:rsid w:val="00D2260B"/>
    <w:rsid w:val="00D25285"/>
    <w:rsid w:val="00D402BD"/>
    <w:rsid w:val="00D41704"/>
    <w:rsid w:val="00D43B07"/>
    <w:rsid w:val="00D47214"/>
    <w:rsid w:val="00D472F6"/>
    <w:rsid w:val="00D50940"/>
    <w:rsid w:val="00D51631"/>
    <w:rsid w:val="00D552AE"/>
    <w:rsid w:val="00D560B3"/>
    <w:rsid w:val="00D602AA"/>
    <w:rsid w:val="00D63922"/>
    <w:rsid w:val="00D64305"/>
    <w:rsid w:val="00D644DC"/>
    <w:rsid w:val="00D66387"/>
    <w:rsid w:val="00D67FCC"/>
    <w:rsid w:val="00D70555"/>
    <w:rsid w:val="00D70A3E"/>
    <w:rsid w:val="00D727A5"/>
    <w:rsid w:val="00D7293E"/>
    <w:rsid w:val="00D7672B"/>
    <w:rsid w:val="00D917BD"/>
    <w:rsid w:val="00DA58C2"/>
    <w:rsid w:val="00DA5D58"/>
    <w:rsid w:val="00DA6DFB"/>
    <w:rsid w:val="00DA6F9A"/>
    <w:rsid w:val="00DB6026"/>
    <w:rsid w:val="00DC046C"/>
    <w:rsid w:val="00DC7026"/>
    <w:rsid w:val="00DD1A4C"/>
    <w:rsid w:val="00DD2CB2"/>
    <w:rsid w:val="00DE113C"/>
    <w:rsid w:val="00DE3ECE"/>
    <w:rsid w:val="00DE4EB2"/>
    <w:rsid w:val="00DE5BD2"/>
    <w:rsid w:val="00DF01CB"/>
    <w:rsid w:val="00DF67C4"/>
    <w:rsid w:val="00DF7812"/>
    <w:rsid w:val="00E00ADF"/>
    <w:rsid w:val="00E15BB1"/>
    <w:rsid w:val="00E2036D"/>
    <w:rsid w:val="00E22B5A"/>
    <w:rsid w:val="00E2476A"/>
    <w:rsid w:val="00E27C8B"/>
    <w:rsid w:val="00E307DD"/>
    <w:rsid w:val="00E31C89"/>
    <w:rsid w:val="00E341E0"/>
    <w:rsid w:val="00E40432"/>
    <w:rsid w:val="00E42F70"/>
    <w:rsid w:val="00E42FBE"/>
    <w:rsid w:val="00E47595"/>
    <w:rsid w:val="00E521C8"/>
    <w:rsid w:val="00E56DF7"/>
    <w:rsid w:val="00E57CDF"/>
    <w:rsid w:val="00E65E76"/>
    <w:rsid w:val="00E67759"/>
    <w:rsid w:val="00E7331A"/>
    <w:rsid w:val="00E7601C"/>
    <w:rsid w:val="00E764D2"/>
    <w:rsid w:val="00E827B7"/>
    <w:rsid w:val="00E8574D"/>
    <w:rsid w:val="00E908A9"/>
    <w:rsid w:val="00E91019"/>
    <w:rsid w:val="00E92526"/>
    <w:rsid w:val="00E97734"/>
    <w:rsid w:val="00E9775A"/>
    <w:rsid w:val="00E97CB0"/>
    <w:rsid w:val="00EA41DF"/>
    <w:rsid w:val="00EA5CEC"/>
    <w:rsid w:val="00EA677C"/>
    <w:rsid w:val="00EB397E"/>
    <w:rsid w:val="00EB6B0F"/>
    <w:rsid w:val="00EC2701"/>
    <w:rsid w:val="00ED493E"/>
    <w:rsid w:val="00ED5D60"/>
    <w:rsid w:val="00EE2813"/>
    <w:rsid w:val="00EE53E6"/>
    <w:rsid w:val="00EE56D8"/>
    <w:rsid w:val="00EF09D6"/>
    <w:rsid w:val="00EF20EA"/>
    <w:rsid w:val="00EF5B32"/>
    <w:rsid w:val="00EF5CA3"/>
    <w:rsid w:val="00EF7C84"/>
    <w:rsid w:val="00F01152"/>
    <w:rsid w:val="00F017E1"/>
    <w:rsid w:val="00F1215F"/>
    <w:rsid w:val="00F14A5B"/>
    <w:rsid w:val="00F201DF"/>
    <w:rsid w:val="00F210AF"/>
    <w:rsid w:val="00F21E75"/>
    <w:rsid w:val="00F22B26"/>
    <w:rsid w:val="00F23D2E"/>
    <w:rsid w:val="00F23F3F"/>
    <w:rsid w:val="00F32E87"/>
    <w:rsid w:val="00F41211"/>
    <w:rsid w:val="00F42963"/>
    <w:rsid w:val="00F44088"/>
    <w:rsid w:val="00F47B70"/>
    <w:rsid w:val="00F5161D"/>
    <w:rsid w:val="00F5346E"/>
    <w:rsid w:val="00F60590"/>
    <w:rsid w:val="00F60C6C"/>
    <w:rsid w:val="00F62DCC"/>
    <w:rsid w:val="00F630B0"/>
    <w:rsid w:val="00F63162"/>
    <w:rsid w:val="00F63300"/>
    <w:rsid w:val="00F74F56"/>
    <w:rsid w:val="00F77649"/>
    <w:rsid w:val="00F85F6E"/>
    <w:rsid w:val="00F8778B"/>
    <w:rsid w:val="00F93DEB"/>
    <w:rsid w:val="00F95F88"/>
    <w:rsid w:val="00FA04E4"/>
    <w:rsid w:val="00FA5211"/>
    <w:rsid w:val="00FA5C2C"/>
    <w:rsid w:val="00FB37E1"/>
    <w:rsid w:val="00FB7EE6"/>
    <w:rsid w:val="00FC2253"/>
    <w:rsid w:val="00FC2481"/>
    <w:rsid w:val="00FC467F"/>
    <w:rsid w:val="00FC5857"/>
    <w:rsid w:val="00FC63FB"/>
    <w:rsid w:val="00FC66E6"/>
    <w:rsid w:val="00FC6F34"/>
    <w:rsid w:val="00FD3556"/>
    <w:rsid w:val="00FD665B"/>
    <w:rsid w:val="00FD6A2C"/>
    <w:rsid w:val="00FE02AA"/>
    <w:rsid w:val="00FE4CA7"/>
    <w:rsid w:val="00FF054B"/>
    <w:rsid w:val="00FF3EFF"/>
    <w:rsid w:val="00FF3F47"/>
    <w:rsid w:val="00FF53FC"/>
    <w:rsid w:val="00FF55B5"/>
    <w:rsid w:val="00FF564E"/>
    <w:rsid w:val="00FF58CD"/>
    <w:rsid w:val="00FF6B50"/>
    <w:rsid w:val="00FF6C23"/>
    <w:rsid w:val="017426B0"/>
    <w:rsid w:val="0A346303"/>
    <w:rsid w:val="0C9A197A"/>
    <w:rsid w:val="2A5A5F14"/>
    <w:rsid w:val="34571DD6"/>
    <w:rsid w:val="4CE526E2"/>
    <w:rsid w:val="51C178E1"/>
    <w:rsid w:val="6B3B40E2"/>
    <w:rsid w:val="73405284"/>
    <w:rsid w:val="75247761"/>
    <w:rsid w:val="75721477"/>
    <w:rsid w:val="767823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3"/>
    <w:qFormat/>
    <w:uiPriority w:val="0"/>
    <w:pPr>
      <w:keepNext/>
      <w:keepLines/>
      <w:spacing w:before="340" w:after="330" w:line="576" w:lineRule="auto"/>
      <w:outlineLvl w:val="0"/>
    </w:pPr>
    <w:rPr>
      <w:b/>
      <w:bCs/>
      <w:kern w:val="44"/>
      <w:sz w:val="44"/>
      <w:szCs w:val="44"/>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3">
    <w:name w:val="Body Text First Indent 2"/>
    <w:basedOn w:val="4"/>
    <w:qFormat/>
    <w:uiPriority w:val="0"/>
    <w:pPr>
      <w:ind w:firstLine="200" w:firstLineChars="200"/>
      <w:jc w:val="left"/>
    </w:pPr>
    <w:rPr>
      <w:rFonts w:ascii="宋体" w:hAnsi="宋体"/>
    </w:rPr>
  </w:style>
  <w:style w:type="paragraph" w:styleId="4">
    <w:name w:val="Body Text Indent"/>
    <w:basedOn w:val="1"/>
    <w:qFormat/>
    <w:uiPriority w:val="99"/>
    <w:pPr>
      <w:ind w:firstLine="830" w:firstLineChars="352"/>
    </w:pPr>
    <w:rPr>
      <w:rFonts w:ascii="仿宋_GB2312" w:hAnsi="Calibri" w:eastAsia="仿宋_GB2312"/>
      <w:kern w:val="0"/>
      <w:sz w:val="32"/>
      <w:szCs w:val="20"/>
    </w:rPr>
  </w:style>
  <w:style w:type="paragraph" w:styleId="5">
    <w:name w:val="Normal Indent"/>
    <w:basedOn w:val="1"/>
    <w:qFormat/>
    <w:uiPriority w:val="0"/>
    <w:pPr>
      <w:ind w:firstLine="420"/>
    </w:pPr>
    <w:rPr>
      <w:szCs w:val="20"/>
    </w:rPr>
  </w:style>
  <w:style w:type="paragraph" w:styleId="6">
    <w:name w:val="annotation text"/>
    <w:basedOn w:val="1"/>
    <w:link w:val="25"/>
    <w:semiHidden/>
    <w:unhideWhenUsed/>
    <w:uiPriority w:val="99"/>
    <w:pPr>
      <w:jc w:val="left"/>
    </w:pPr>
  </w:style>
  <w:style w:type="paragraph" w:styleId="7">
    <w:name w:val="Body Text"/>
    <w:basedOn w:val="1"/>
    <w:link w:val="26"/>
    <w:qFormat/>
    <w:uiPriority w:val="0"/>
    <w:pPr>
      <w:spacing w:line="360" w:lineRule="auto"/>
    </w:pPr>
    <w:rPr>
      <w:b/>
      <w:bCs/>
      <w:sz w:val="24"/>
    </w:rPr>
  </w:style>
  <w:style w:type="paragraph" w:styleId="8">
    <w:name w:val="Balloon Text"/>
    <w:basedOn w:val="1"/>
    <w:link w:val="24"/>
    <w:semiHidden/>
    <w:unhideWhenUsed/>
    <w:qFormat/>
    <w:uiPriority w:val="99"/>
    <w:rPr>
      <w:rFonts w:ascii="Times New Roman" w:hAnsi="Times New Roman" w:eastAsia="仿宋_GB2312" w:cs="Times New Roman"/>
      <w:spacing w:val="10"/>
      <w:sz w:val="18"/>
      <w:szCs w:val="18"/>
    </w:rPr>
  </w:style>
  <w:style w:type="paragraph" w:styleId="9">
    <w:name w:val="footer"/>
    <w:basedOn w:val="1"/>
    <w:link w:val="21"/>
    <w:unhideWhenUsed/>
    <w:qFormat/>
    <w:uiPriority w:val="99"/>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sz w:val="20"/>
      <w:szCs w:val="20"/>
      <w:u w:val="single"/>
    </w:rPr>
  </w:style>
  <w:style w:type="character" w:styleId="17">
    <w:name w:val="Hyperlink"/>
    <w:basedOn w:val="14"/>
    <w:semiHidden/>
    <w:unhideWhenUsed/>
    <w:qFormat/>
    <w:uiPriority w:val="99"/>
    <w:rPr>
      <w:color w:val="0000FF"/>
      <w:sz w:val="20"/>
      <w:szCs w:val="20"/>
      <w:u w:val="single"/>
    </w:rPr>
  </w:style>
  <w:style w:type="character" w:styleId="18">
    <w:name w:val="annotation reference"/>
    <w:basedOn w:val="14"/>
    <w:semiHidden/>
    <w:unhideWhenUsed/>
    <w:qFormat/>
    <w:uiPriority w:val="99"/>
    <w:rPr>
      <w:sz w:val="21"/>
      <w:szCs w:val="21"/>
    </w:rPr>
  </w:style>
  <w:style w:type="paragraph" w:customStyle="1" w:styleId="19">
    <w:name w:val="tableheader"/>
    <w:basedOn w:val="1"/>
    <w:qFormat/>
    <w:uiPriority w:val="0"/>
    <w:pPr>
      <w:widowControl/>
      <w:shd w:val="clear" w:color="auto" w:fill="ABCDEF"/>
      <w:spacing w:before="100" w:beforeAutospacing="1" w:after="100" w:afterAutospacing="1"/>
      <w:jc w:val="left"/>
    </w:pPr>
    <w:rPr>
      <w:rFonts w:ascii="宋体" w:hAnsi="宋体" w:eastAsia="宋体" w:cs="宋体"/>
      <w:kern w:val="0"/>
      <w:sz w:val="24"/>
      <w:szCs w:val="24"/>
    </w:rPr>
  </w:style>
  <w:style w:type="character" w:customStyle="1" w:styleId="20">
    <w:name w:val="页眉 Char"/>
    <w:basedOn w:val="14"/>
    <w:link w:val="10"/>
    <w:qFormat/>
    <w:uiPriority w:val="0"/>
    <w:rPr>
      <w:rFonts w:ascii="Times New Roman" w:hAnsi="Times New Roman" w:eastAsia="宋体" w:cs="Times New Roman"/>
      <w:sz w:val="18"/>
      <w:szCs w:val="18"/>
    </w:rPr>
  </w:style>
  <w:style w:type="character" w:customStyle="1" w:styleId="21">
    <w:name w:val="页脚 Char"/>
    <w:basedOn w:val="14"/>
    <w:link w:val="9"/>
    <w:qFormat/>
    <w:uiPriority w:val="99"/>
    <w:rPr>
      <w:sz w:val="18"/>
      <w:szCs w:val="18"/>
    </w:rPr>
  </w:style>
  <w:style w:type="paragraph" w:customStyle="1" w:styleId="22">
    <w:name w:val="首行缩进"/>
    <w:basedOn w:val="1"/>
    <w:qFormat/>
    <w:uiPriority w:val="0"/>
    <w:pPr>
      <w:ind w:firstLine="480" w:firstLineChars="200"/>
    </w:pPr>
    <w:rPr>
      <w:rFonts w:ascii="Calibri" w:hAnsi="Calibri" w:eastAsia="仿宋" w:cs="Times New Roman"/>
      <w:sz w:val="28"/>
      <w:lang w:val="zh-CN"/>
    </w:rPr>
  </w:style>
  <w:style w:type="paragraph" w:styleId="23">
    <w:name w:val="List Paragraph"/>
    <w:basedOn w:val="1"/>
    <w:qFormat/>
    <w:uiPriority w:val="34"/>
    <w:pPr>
      <w:ind w:firstLine="420" w:firstLineChars="200"/>
    </w:pPr>
  </w:style>
  <w:style w:type="character" w:customStyle="1" w:styleId="24">
    <w:name w:val="批注框文本 Char"/>
    <w:basedOn w:val="14"/>
    <w:link w:val="8"/>
    <w:semiHidden/>
    <w:qFormat/>
    <w:uiPriority w:val="99"/>
    <w:rPr>
      <w:rFonts w:ascii="Times New Roman" w:hAnsi="Times New Roman" w:eastAsia="仿宋_GB2312" w:cs="Times New Roman"/>
      <w:spacing w:val="10"/>
      <w:sz w:val="18"/>
      <w:szCs w:val="18"/>
    </w:rPr>
  </w:style>
  <w:style w:type="character" w:customStyle="1" w:styleId="25">
    <w:name w:val="批注文字 Char"/>
    <w:basedOn w:val="14"/>
    <w:link w:val="6"/>
    <w:semiHidden/>
    <w:uiPriority w:val="99"/>
    <w:rPr>
      <w:kern w:val="2"/>
      <w:sz w:val="21"/>
      <w:szCs w:val="22"/>
    </w:rPr>
  </w:style>
  <w:style w:type="character" w:customStyle="1" w:styleId="26">
    <w:name w:val="正文文本 Char"/>
    <w:basedOn w:val="14"/>
    <w:link w:val="7"/>
    <w:qFormat/>
    <w:uiPriority w:val="0"/>
    <w:rPr>
      <w:b/>
      <w:bCs/>
      <w:kern w:val="2"/>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DELL</Company>
  <Pages>5</Pages>
  <Words>4351</Words>
  <Characters>4478</Characters>
  <Lines>33</Lines>
  <Paragraphs>9</Paragraphs>
  <TotalTime>108</TotalTime>
  <ScaleCrop>false</ScaleCrop>
  <LinksUpToDate>false</LinksUpToDate>
  <CharactersWithSpaces>4495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2023-02-03T13:21:00Z</dcterms:created>
  <dc:creator>张婷婷</dc:creator>
  <cp:lastModifiedBy>龙</cp:lastModifiedBy>
  <dcterms:modified xsi:type="dcterms:W3CDTF">2025-05-28T08:35:20Z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407AEB79C89C400EAD76CF3BD0330ED6</vt:lpwstr>
  </property>
  <property fmtid="{D5CDD505-2E9C-101B-9397-08002B2CF9AE}" pid="4" name="KSOTemplateDocerSaveRecord">
    <vt:lpwstr>eyJoZGlkIjoiODk1NWVlZTNjMjViZjQ4MTIyMTZkYzA0ZTEzNjBiNzIiLCJ1c2VySWQiOiIxNTY5NzkzNTIxIn0=</vt:lpwstr>
  </property>
</Properties>
</file>