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6AEF">
      <w:pPr>
        <w:spacing w:line="440" w:lineRule="exact"/>
        <w:jc w:val="center"/>
        <w:rPr>
          <w:rFonts w:ascii="仿宋_GB2312" w:eastAsia="仿宋_GB2312"/>
          <w:b/>
          <w:sz w:val="32"/>
          <w:szCs w:val="32"/>
        </w:rPr>
      </w:pPr>
      <w:r>
        <w:rPr>
          <w:rFonts w:hint="eastAsia" w:ascii="仿宋_GB2312" w:eastAsia="仿宋_GB2312"/>
          <w:b/>
          <w:sz w:val="32"/>
          <w:szCs w:val="32"/>
        </w:rPr>
        <w:t>南方医科大学深圳口腔医院（坪山）</w:t>
      </w:r>
    </w:p>
    <w:p w14:paraId="3C409232">
      <w:pPr>
        <w:jc w:val="center"/>
        <w:rPr>
          <w:rFonts w:ascii="仿宋_GB2312" w:eastAsia="仿宋_GB2312"/>
          <w:b/>
          <w:sz w:val="32"/>
          <w:szCs w:val="32"/>
        </w:rPr>
      </w:pPr>
      <w:r>
        <w:rPr>
          <w:rFonts w:ascii="仿宋_GB2312" w:eastAsia="仿宋_GB2312"/>
          <w:b/>
          <w:sz w:val="32"/>
          <w:szCs w:val="32"/>
        </w:rPr>
        <w:t>HRP</w:t>
      </w:r>
      <w:r>
        <w:rPr>
          <w:rFonts w:hint="eastAsia" w:ascii="仿宋_GB2312" w:eastAsia="仿宋_GB2312"/>
          <w:b/>
          <w:sz w:val="32"/>
          <w:szCs w:val="32"/>
        </w:rPr>
        <w:t>系统运维项目</w:t>
      </w:r>
      <w:r>
        <w:rPr>
          <w:rFonts w:hint="eastAsia" w:ascii="仿宋_GB2312" w:eastAsia="仿宋_GB2312"/>
          <w:b/>
          <w:sz w:val="32"/>
          <w:szCs w:val="32"/>
          <w:lang w:val="en-US" w:eastAsia="zh-CN"/>
        </w:rPr>
        <w:t>市场调研</w:t>
      </w:r>
      <w:r>
        <w:rPr>
          <w:rFonts w:hint="eastAsia" w:ascii="仿宋_GB2312" w:eastAsia="仿宋_GB2312"/>
          <w:b/>
          <w:sz w:val="32"/>
          <w:szCs w:val="32"/>
        </w:rPr>
        <w:t>需求</w:t>
      </w:r>
    </w:p>
    <w:p w14:paraId="67A19BA2">
      <w:pPr>
        <w:spacing w:line="440" w:lineRule="exact"/>
        <w:jc w:val="center"/>
      </w:pPr>
      <w:r>
        <w:rPr>
          <w:rFonts w:hint="eastAsia" w:ascii="仿宋_GB2312" w:eastAsia="仿宋_GB2312"/>
          <w:b/>
          <w:sz w:val="28"/>
          <w:szCs w:val="32"/>
        </w:rPr>
        <w:t>（项目编码：</w:t>
      </w:r>
      <w:r>
        <w:rPr>
          <w:rFonts w:ascii="仿宋_GB2312" w:eastAsia="仿宋_GB2312"/>
          <w:b/>
          <w:sz w:val="28"/>
          <w:szCs w:val="32"/>
        </w:rPr>
        <w:t>NFYKDSZKQ-XXH-</w:t>
      </w:r>
      <w:r>
        <w:rPr>
          <w:rFonts w:hint="eastAsia" w:ascii="仿宋_GB2312" w:eastAsia="仿宋_GB2312"/>
          <w:b/>
          <w:sz w:val="28"/>
          <w:szCs w:val="32"/>
          <w:lang w:val="en-US" w:eastAsia="zh-CN"/>
        </w:rPr>
        <w:t>FW-HRPYW</w:t>
      </w:r>
      <w:r>
        <w:rPr>
          <w:rFonts w:ascii="仿宋_GB2312" w:eastAsia="仿宋_GB2312"/>
          <w:b/>
          <w:sz w:val="28"/>
          <w:szCs w:val="32"/>
        </w:rPr>
        <w:t>-202</w:t>
      </w:r>
      <w:r>
        <w:rPr>
          <w:rFonts w:hint="eastAsia" w:ascii="仿宋_GB2312" w:eastAsia="仿宋_GB2312"/>
          <w:b/>
          <w:sz w:val="28"/>
          <w:szCs w:val="32"/>
          <w:lang w:val="en-US" w:eastAsia="zh-CN"/>
        </w:rPr>
        <w:t>60121</w:t>
      </w:r>
      <w:r>
        <w:rPr>
          <w:rFonts w:hint="eastAsia" w:ascii="仿宋_GB2312" w:eastAsia="仿宋_GB2312"/>
          <w:b/>
          <w:sz w:val="28"/>
          <w:szCs w:val="32"/>
        </w:rPr>
        <w:t>00</w:t>
      </w:r>
      <w:r>
        <w:rPr>
          <w:rFonts w:hint="eastAsia" w:ascii="仿宋_GB2312" w:eastAsia="仿宋_GB2312"/>
          <w:b/>
          <w:sz w:val="28"/>
          <w:szCs w:val="32"/>
          <w:lang w:val="en-US" w:eastAsia="zh-CN"/>
        </w:rPr>
        <w:t>3</w:t>
      </w:r>
      <w:r>
        <w:rPr>
          <w:rFonts w:hint="eastAsia" w:ascii="仿宋_GB2312" w:eastAsia="仿宋_GB2312"/>
          <w:b/>
          <w:sz w:val="28"/>
          <w:szCs w:val="32"/>
        </w:rPr>
        <w:t>）</w:t>
      </w:r>
    </w:p>
    <w:tbl>
      <w:tblPr>
        <w:tblStyle w:val="12"/>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113"/>
        <w:gridCol w:w="5107"/>
        <w:gridCol w:w="1985"/>
        <w:gridCol w:w="2335"/>
      </w:tblGrid>
      <w:tr w14:paraId="3803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4A982CA2">
            <w:pPr>
              <w:rPr>
                <w:rFonts w:ascii="宋体" w:hAnsi="宋体" w:eastAsia="宋体" w:cs="宋体"/>
                <w:szCs w:val="21"/>
              </w:rPr>
            </w:pPr>
            <w:r>
              <w:rPr>
                <w:rFonts w:hint="eastAsia" w:ascii="宋体" w:hAnsi="宋体" w:eastAsia="宋体" w:cs="宋体"/>
                <w:szCs w:val="21"/>
              </w:rPr>
              <w:t>项目名称</w:t>
            </w:r>
          </w:p>
        </w:tc>
        <w:tc>
          <w:tcPr>
            <w:tcW w:w="5107" w:type="dxa"/>
            <w:vAlign w:val="center"/>
          </w:tcPr>
          <w:p w14:paraId="5CE096C2">
            <w:pPr>
              <w:rPr>
                <w:rFonts w:ascii="宋体" w:hAnsi="宋体" w:eastAsia="宋体" w:cs="宋体"/>
                <w:szCs w:val="21"/>
              </w:rPr>
            </w:pPr>
            <w:r>
              <w:t>HRP</w:t>
            </w:r>
            <w:r>
              <w:rPr>
                <w:rFonts w:hint="eastAsia"/>
              </w:rPr>
              <w:t>运维服务项目</w:t>
            </w:r>
          </w:p>
        </w:tc>
        <w:tc>
          <w:tcPr>
            <w:tcW w:w="1985" w:type="dxa"/>
            <w:vAlign w:val="center"/>
          </w:tcPr>
          <w:p w14:paraId="075F3990">
            <w:pPr>
              <w:rPr>
                <w:rFonts w:ascii="宋体" w:hAnsi="宋体" w:eastAsia="宋体" w:cs="宋体"/>
                <w:szCs w:val="21"/>
              </w:rPr>
            </w:pPr>
            <w:r>
              <w:rPr>
                <w:rFonts w:hint="eastAsia" w:ascii="宋体" w:hAnsi="宋体" w:eastAsia="宋体" w:cs="宋体"/>
                <w:szCs w:val="21"/>
              </w:rPr>
              <w:t>是否预选项目</w:t>
            </w:r>
          </w:p>
        </w:tc>
        <w:tc>
          <w:tcPr>
            <w:tcW w:w="2335" w:type="dxa"/>
            <w:vAlign w:val="center"/>
          </w:tcPr>
          <w:p w14:paraId="6C78AA49">
            <w:pPr>
              <w:rPr>
                <w:rFonts w:ascii="宋体" w:hAnsi="宋体" w:eastAsia="宋体" w:cs="宋体"/>
                <w:szCs w:val="21"/>
              </w:rPr>
            </w:pPr>
            <w:r>
              <w:rPr>
                <w:rFonts w:hint="eastAsia" w:ascii="宋体" w:hAnsi="宋体" w:eastAsia="宋体" w:cs="宋体"/>
                <w:szCs w:val="21"/>
              </w:rPr>
              <w:t>否</w:t>
            </w:r>
          </w:p>
        </w:tc>
      </w:tr>
      <w:tr w14:paraId="368C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744D0627">
            <w:pPr>
              <w:rPr>
                <w:rFonts w:ascii="宋体" w:hAnsi="宋体" w:eastAsia="宋体" w:cs="宋体"/>
                <w:szCs w:val="21"/>
              </w:rPr>
            </w:pPr>
            <w:r>
              <w:rPr>
                <w:rFonts w:hint="eastAsia" w:ascii="宋体" w:hAnsi="宋体" w:eastAsia="宋体" w:cs="宋体"/>
                <w:szCs w:val="21"/>
              </w:rPr>
              <w:t>采购人名称</w:t>
            </w:r>
          </w:p>
        </w:tc>
        <w:tc>
          <w:tcPr>
            <w:tcW w:w="5107" w:type="dxa"/>
            <w:vAlign w:val="center"/>
          </w:tcPr>
          <w:p w14:paraId="14A22D88">
            <w:pPr>
              <w:rPr>
                <w:rFonts w:ascii="宋体" w:hAnsi="宋体" w:eastAsia="宋体" w:cs="宋体"/>
                <w:szCs w:val="21"/>
              </w:rPr>
            </w:pPr>
            <w:r>
              <w:rPr>
                <w:rFonts w:hint="eastAsia" w:ascii="宋体" w:hAnsi="宋体" w:eastAsia="宋体" w:cs="宋体"/>
                <w:szCs w:val="21"/>
              </w:rPr>
              <w:t>南方医科大学深圳口腔医院（坪山）</w:t>
            </w:r>
          </w:p>
        </w:tc>
        <w:tc>
          <w:tcPr>
            <w:tcW w:w="1985" w:type="dxa"/>
            <w:vAlign w:val="center"/>
          </w:tcPr>
          <w:p w14:paraId="22C1BD6A">
            <w:pPr>
              <w:rPr>
                <w:rFonts w:ascii="宋体" w:hAnsi="宋体" w:eastAsia="宋体" w:cs="宋体"/>
                <w:szCs w:val="21"/>
              </w:rPr>
            </w:pPr>
            <w:r>
              <w:rPr>
                <w:rFonts w:hint="eastAsia" w:ascii="宋体" w:hAnsi="宋体" w:eastAsia="宋体" w:cs="宋体"/>
                <w:szCs w:val="21"/>
              </w:rPr>
              <w:t>采购方式</w:t>
            </w:r>
          </w:p>
        </w:tc>
        <w:tc>
          <w:tcPr>
            <w:tcW w:w="2335" w:type="dxa"/>
            <w:vAlign w:val="center"/>
          </w:tcPr>
          <w:p w14:paraId="3730702B">
            <w:pPr>
              <w:rPr>
                <w:rFonts w:ascii="宋体" w:hAnsi="宋体" w:eastAsia="宋体" w:cs="宋体"/>
                <w:szCs w:val="21"/>
              </w:rPr>
            </w:pPr>
            <w:r>
              <w:rPr>
                <w:rFonts w:hint="eastAsia" w:ascii="宋体" w:hAnsi="宋体" w:eastAsia="宋体" w:cs="宋体"/>
                <w:szCs w:val="21"/>
              </w:rPr>
              <w:t>公开询价采购</w:t>
            </w:r>
          </w:p>
        </w:tc>
      </w:tr>
      <w:tr w14:paraId="45F8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6C819CAA">
            <w:pPr>
              <w:rPr>
                <w:rFonts w:ascii="宋体" w:hAnsi="宋体" w:eastAsia="宋体" w:cs="宋体"/>
                <w:szCs w:val="21"/>
              </w:rPr>
            </w:pPr>
            <w:r>
              <w:rPr>
                <w:rFonts w:hint="eastAsia" w:ascii="宋体" w:hAnsi="宋体" w:eastAsia="宋体" w:cs="宋体"/>
                <w:szCs w:val="21"/>
              </w:rPr>
              <w:t>预算限额（元）</w:t>
            </w:r>
          </w:p>
        </w:tc>
        <w:tc>
          <w:tcPr>
            <w:tcW w:w="9427" w:type="dxa"/>
            <w:gridSpan w:val="3"/>
            <w:vAlign w:val="center"/>
          </w:tcPr>
          <w:p w14:paraId="60241488">
            <w:pPr>
              <w:rPr>
                <w:rFonts w:ascii="宋体" w:hAnsi="宋体" w:eastAsia="宋体" w:cs="宋体"/>
                <w:szCs w:val="21"/>
              </w:rPr>
            </w:pPr>
            <w:r>
              <w:rPr>
                <w:rFonts w:hint="eastAsia" w:ascii="宋体" w:hAnsi="宋体" w:eastAsia="宋体" w:cs="宋体"/>
                <w:szCs w:val="21"/>
              </w:rPr>
              <w:t>市场调研后确定</w:t>
            </w:r>
          </w:p>
        </w:tc>
      </w:tr>
      <w:tr w14:paraId="5BA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jc w:val="center"/>
        </w:trPr>
        <w:tc>
          <w:tcPr>
            <w:tcW w:w="1113" w:type="dxa"/>
            <w:vAlign w:val="center"/>
          </w:tcPr>
          <w:p w14:paraId="67333B09">
            <w:pPr>
              <w:rPr>
                <w:rFonts w:ascii="宋体" w:hAnsi="宋体" w:eastAsia="宋体" w:cs="宋体"/>
                <w:szCs w:val="21"/>
              </w:rPr>
            </w:pPr>
            <w:r>
              <w:rPr>
                <w:rFonts w:hint="eastAsia" w:ascii="宋体" w:hAnsi="宋体" w:eastAsia="宋体" w:cs="宋体"/>
                <w:color w:val="C00000"/>
                <w:szCs w:val="21"/>
              </w:rPr>
              <w:t>项目背景</w:t>
            </w:r>
          </w:p>
        </w:tc>
        <w:tc>
          <w:tcPr>
            <w:tcW w:w="9427" w:type="dxa"/>
            <w:gridSpan w:val="3"/>
            <w:vAlign w:val="center"/>
          </w:tcPr>
          <w:p w14:paraId="0FDFBA27">
            <w:pPr>
              <w:ind w:firstLine="420" w:firstLineChars="200"/>
              <w:rPr>
                <w:rFonts w:ascii="宋体" w:hAnsi="宋体" w:eastAsia="宋体" w:cs="宋体"/>
                <w:szCs w:val="21"/>
              </w:rPr>
            </w:pPr>
            <w:r>
              <w:rPr>
                <w:rFonts w:ascii="宋体" w:hAnsi="宋体" w:eastAsia="宋体" w:cs="宋体"/>
                <w:szCs w:val="21"/>
              </w:rPr>
              <w:t>HRP</w:t>
            </w:r>
            <w:r>
              <w:rPr>
                <w:rFonts w:hint="eastAsia" w:ascii="宋体" w:hAnsi="宋体" w:eastAsia="宋体" w:cs="宋体"/>
                <w:szCs w:val="21"/>
              </w:rPr>
              <w:t>系统是医院的核心运营管理系统，已持续稳定运行5年。为保障其长期高效运转，现开展院内HRP系统运维服务采购工作。</w:t>
            </w:r>
            <w:bookmarkStart w:id="2" w:name="_GoBack"/>
            <w:bookmarkEnd w:id="2"/>
          </w:p>
          <w:p w14:paraId="6B22EF2A">
            <w:pPr>
              <w:ind w:firstLine="420" w:firstLineChars="200"/>
              <w:rPr>
                <w:rFonts w:ascii="宋体" w:hAnsi="宋体" w:eastAsia="宋体" w:cs="宋体"/>
                <w:szCs w:val="21"/>
              </w:rPr>
            </w:pPr>
            <w:r>
              <w:rPr>
                <w:rFonts w:ascii="宋体" w:hAnsi="宋体" w:eastAsia="宋体" w:cs="宋体"/>
                <w:szCs w:val="21"/>
              </w:rPr>
              <w:t>HRP</w:t>
            </w:r>
            <w:r>
              <w:rPr>
                <w:rFonts w:hint="eastAsia" w:ascii="宋体" w:hAnsi="宋体" w:eastAsia="宋体" w:cs="宋体"/>
                <w:szCs w:val="21"/>
              </w:rPr>
              <w:t>系统主要包含以下关键模块：财务核算、资产设备管理、物流管理、供应宝、人事系统、预算管理以及集成平台接口服务。</w:t>
            </w:r>
          </w:p>
        </w:tc>
      </w:tr>
      <w:tr w14:paraId="0EF6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177A8AB8">
            <w:pPr>
              <w:rPr>
                <w:rFonts w:ascii="宋体" w:hAnsi="宋体" w:eastAsia="宋体" w:cs="宋体"/>
                <w:szCs w:val="21"/>
              </w:rPr>
            </w:pPr>
            <w:r>
              <w:rPr>
                <w:rFonts w:hint="eastAsia" w:ascii="宋体" w:hAnsi="宋体" w:eastAsia="宋体" w:cs="宋体"/>
                <w:szCs w:val="21"/>
              </w:rPr>
              <w:t>报价人资质要求</w:t>
            </w:r>
          </w:p>
        </w:tc>
        <w:tc>
          <w:tcPr>
            <w:tcW w:w="9427" w:type="dxa"/>
            <w:gridSpan w:val="3"/>
            <w:vAlign w:val="center"/>
          </w:tcPr>
          <w:p w14:paraId="3D8A116E">
            <w:pPr>
              <w:rPr>
                <w:rFonts w:ascii="宋体" w:hAnsi="宋体" w:eastAsia="宋体" w:cs="宋体"/>
                <w:szCs w:val="21"/>
              </w:rPr>
            </w:pPr>
            <w:r>
              <w:rPr>
                <w:rFonts w:hint="eastAsia" w:ascii="宋体" w:hAnsi="宋体" w:eastAsia="宋体" w:cs="宋体"/>
                <w:szCs w:val="21"/>
              </w:rPr>
              <w:t>1）报价人必须具有独立法人资格（提供营业执照原件扫描件并加盖报价人公章）。</w:t>
            </w:r>
          </w:p>
          <w:p w14:paraId="5F717F36">
            <w:pPr>
              <w:rPr>
                <w:rFonts w:ascii="宋体" w:hAnsi="宋体" w:eastAsia="宋体" w:cs="宋体"/>
                <w:szCs w:val="21"/>
              </w:rPr>
            </w:pPr>
            <w:r>
              <w:rPr>
                <w:rFonts w:hint="eastAsia" w:ascii="宋体" w:hAnsi="宋体" w:eastAsia="宋体" w:cs="宋体"/>
                <w:szCs w:val="21"/>
              </w:rPr>
              <w:t>2）本项目不接受联合体报价，不允许分包、转包，不接受报价人选用进口产品参与报价(由报价人在《政府采购报价及履约承诺函》中做出声明）。</w:t>
            </w:r>
          </w:p>
          <w:p w14:paraId="176D5E7F">
            <w:pPr>
              <w:rPr>
                <w:rFonts w:ascii="宋体" w:hAnsi="宋体" w:eastAsia="宋体" w:cs="宋体"/>
                <w:szCs w:val="21"/>
              </w:rPr>
            </w:pPr>
            <w:r>
              <w:rPr>
                <w:rFonts w:hint="eastAsia" w:ascii="宋体" w:hAnsi="宋体" w:eastAsia="宋体" w:cs="宋体"/>
                <w:szCs w:val="21"/>
              </w:rPr>
              <w:t>3）报价人近三年内无行贿犯罪记录（由报价人在《政府采购报价及履约承诺函》中做出声明）。</w:t>
            </w:r>
          </w:p>
          <w:p w14:paraId="68E334A7">
            <w:pPr>
              <w:rPr>
                <w:rFonts w:ascii="宋体" w:hAnsi="宋体" w:eastAsia="宋体" w:cs="宋体"/>
                <w:szCs w:val="21"/>
              </w:rPr>
            </w:pPr>
            <w:r>
              <w:rPr>
                <w:rFonts w:hint="eastAsia" w:ascii="宋体" w:hAnsi="宋体" w:eastAsia="宋体" w:cs="宋体"/>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612B6F07">
            <w:pPr>
              <w:rPr>
                <w:rFonts w:ascii="宋体" w:hAnsi="宋体" w:eastAsia="宋体" w:cs="宋体"/>
                <w:szCs w:val="21"/>
              </w:rPr>
            </w:pPr>
            <w:r>
              <w:rPr>
                <w:rFonts w:hint="eastAsia" w:ascii="宋体" w:hAnsi="宋体" w:eastAsia="宋体" w:cs="宋体"/>
                <w:szCs w:val="21"/>
              </w:rPr>
              <w:t>5）参与本项目的报价人不存在被有关部门禁止参与政府采购活动且在有效期内的情况（由报价人在《政府采购报价及履约承诺函》中做出声明）。</w:t>
            </w:r>
          </w:p>
        </w:tc>
      </w:tr>
      <w:tr w14:paraId="3695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50" w:hRule="atLeast"/>
          <w:tblCellSpacing w:w="0" w:type="dxa"/>
          <w:jc w:val="center"/>
        </w:trPr>
        <w:tc>
          <w:tcPr>
            <w:tcW w:w="1113" w:type="dxa"/>
            <w:tcBorders>
              <w:bottom w:val="single" w:color="auto" w:sz="4" w:space="0"/>
            </w:tcBorders>
            <w:vAlign w:val="center"/>
          </w:tcPr>
          <w:p w14:paraId="07D8EDC9">
            <w:pPr>
              <w:rPr>
                <w:rFonts w:ascii="宋体" w:hAnsi="宋体" w:eastAsia="宋体" w:cs="宋体"/>
                <w:szCs w:val="21"/>
              </w:rPr>
            </w:pPr>
            <w:bookmarkStart w:id="0" w:name="_Hlk132703410"/>
            <w:r>
              <w:rPr>
                <w:rFonts w:hint="eastAsia" w:ascii="宋体" w:hAnsi="宋体" w:eastAsia="宋体" w:cs="宋体"/>
                <w:color w:val="C00000"/>
                <w:szCs w:val="21"/>
              </w:rPr>
              <w:t>服务清单及要求</w:t>
            </w:r>
          </w:p>
        </w:tc>
        <w:tc>
          <w:tcPr>
            <w:tcW w:w="9427" w:type="dxa"/>
            <w:gridSpan w:val="3"/>
            <w:tcBorders>
              <w:bottom w:val="single" w:color="auto" w:sz="4" w:space="0"/>
            </w:tcBorders>
            <w:vAlign w:val="center"/>
          </w:tcPr>
          <w:p w14:paraId="2FEDFD28">
            <w:pPr>
              <w:rPr>
                <w:rFonts w:ascii="宋体" w:hAnsi="宋体" w:eastAsia="宋体" w:cs="宋体"/>
                <w:szCs w:val="21"/>
              </w:rPr>
            </w:pPr>
            <w:r>
              <w:rPr>
                <w:rFonts w:hint="eastAsia" w:ascii="宋体" w:hAnsi="宋体" w:eastAsia="宋体" w:cs="宋体"/>
                <w:szCs w:val="21"/>
              </w:rPr>
              <w:t>一、提供HRP运维服务内容包括：</w:t>
            </w:r>
          </w:p>
          <w:p w14:paraId="5815B4B5">
            <w:pPr>
              <w:ind w:left="420" w:leftChars="200" w:firstLine="0" w:firstLineChars="0"/>
              <w:rPr>
                <w:rFonts w:ascii="宋体" w:hAnsi="宋体" w:eastAsia="宋体" w:cs="宋体"/>
                <w:szCs w:val="21"/>
              </w:rPr>
            </w:pPr>
            <w:r>
              <w:rPr>
                <w:rFonts w:hint="eastAsia" w:ascii="宋体" w:hAnsi="宋体" w:eastAsia="宋体" w:cs="宋体"/>
                <w:szCs w:val="21"/>
              </w:rPr>
              <w:t>1.1日常维护</w:t>
            </w:r>
          </w:p>
          <w:p w14:paraId="53C2610A">
            <w:pPr>
              <w:ind w:left="420" w:leftChars="200" w:firstLine="420" w:firstLineChars="200"/>
              <w:rPr>
                <w:rFonts w:ascii="宋体" w:hAnsi="宋体" w:eastAsia="宋体" w:cs="宋体"/>
                <w:szCs w:val="21"/>
              </w:rPr>
            </w:pPr>
            <w:r>
              <w:rPr>
                <w:rFonts w:hint="eastAsia" w:ascii="宋体" w:hAnsi="宋体" w:eastAsia="宋体" w:cs="宋体"/>
                <w:szCs w:val="21"/>
              </w:rPr>
              <w:t>稳定运行保障：保证在用HRP系统功能的完整及正确性，能承受不断增加的业务和数据压力，保证系统运行的高效、稳定。</w:t>
            </w:r>
          </w:p>
          <w:p w14:paraId="63119BF1">
            <w:pPr>
              <w:ind w:left="420" w:leftChars="200" w:firstLine="420" w:firstLineChars="200"/>
              <w:rPr>
                <w:rFonts w:ascii="宋体" w:hAnsi="宋体" w:eastAsia="宋体" w:cs="宋体"/>
                <w:szCs w:val="21"/>
              </w:rPr>
            </w:pPr>
            <w:r>
              <w:rPr>
                <w:rFonts w:hint="eastAsia" w:ascii="宋体" w:hAnsi="宋体" w:eastAsia="宋体" w:cs="宋体"/>
                <w:szCs w:val="21"/>
              </w:rPr>
              <w:t>系统错误修复：系统在使用过程中发现的错误，在第一时间完成修复。</w:t>
            </w:r>
          </w:p>
          <w:p w14:paraId="35984830">
            <w:pPr>
              <w:ind w:left="420" w:leftChars="200" w:firstLine="0" w:firstLineChars="0"/>
              <w:rPr>
                <w:rFonts w:ascii="宋体" w:hAnsi="宋体" w:eastAsia="宋体" w:cs="宋体"/>
                <w:szCs w:val="21"/>
              </w:rPr>
            </w:pPr>
            <w:r>
              <w:rPr>
                <w:rFonts w:hint="eastAsia" w:ascii="宋体" w:hAnsi="宋体" w:eastAsia="宋体" w:cs="宋体"/>
                <w:szCs w:val="21"/>
              </w:rPr>
              <w:t>系统数据修复：系统使用过程中，因用户误操作等原因导致的数据错误，查明原因和进行数据修复。</w:t>
            </w:r>
          </w:p>
          <w:p w14:paraId="2E1638E6">
            <w:pPr>
              <w:ind w:left="420" w:leftChars="200" w:firstLine="420" w:firstLineChars="200"/>
              <w:rPr>
                <w:rFonts w:ascii="宋体" w:hAnsi="宋体" w:eastAsia="宋体" w:cs="宋体"/>
                <w:szCs w:val="21"/>
              </w:rPr>
            </w:pPr>
            <w:r>
              <w:rPr>
                <w:rFonts w:hint="eastAsia" w:ascii="宋体" w:hAnsi="宋体" w:eastAsia="宋体" w:cs="宋体"/>
                <w:szCs w:val="21"/>
              </w:rPr>
              <w:t>实施培训：负责因各种原因变化增加的项目实施和人员培训工作。</w:t>
            </w:r>
          </w:p>
          <w:p w14:paraId="259192C4">
            <w:pPr>
              <w:ind w:left="420" w:leftChars="200" w:firstLine="420" w:firstLineChars="200"/>
              <w:rPr>
                <w:rFonts w:ascii="宋体" w:hAnsi="宋体" w:eastAsia="宋体" w:cs="宋体"/>
                <w:szCs w:val="21"/>
              </w:rPr>
            </w:pPr>
            <w:r>
              <w:rPr>
                <w:rFonts w:hint="eastAsia" w:ascii="宋体" w:hAnsi="宋体" w:eastAsia="宋体" w:cs="宋体"/>
                <w:szCs w:val="21"/>
              </w:rPr>
              <w:t>字典调整：负责指导及协助相关系统负责人或系统关键用户，制定、完善系统字典。</w:t>
            </w:r>
          </w:p>
          <w:p w14:paraId="5CB8406B">
            <w:pPr>
              <w:ind w:left="420" w:leftChars="200" w:firstLine="0" w:firstLineChars="0"/>
              <w:rPr>
                <w:rFonts w:ascii="宋体" w:hAnsi="宋体" w:eastAsia="宋体" w:cs="宋体"/>
                <w:szCs w:val="21"/>
              </w:rPr>
            </w:pPr>
            <w:r>
              <w:rPr>
                <w:rFonts w:hint="eastAsia" w:ascii="宋体" w:hAnsi="宋体" w:eastAsia="宋体" w:cs="宋体"/>
                <w:szCs w:val="21"/>
              </w:rPr>
              <w:t>1.2.修改调整</w:t>
            </w:r>
          </w:p>
          <w:p w14:paraId="238C3332">
            <w:pPr>
              <w:ind w:left="420" w:leftChars="200" w:firstLine="420" w:firstLineChars="200"/>
              <w:rPr>
                <w:rFonts w:ascii="宋体" w:hAnsi="宋体" w:eastAsia="宋体" w:cs="宋体"/>
                <w:szCs w:val="21"/>
              </w:rPr>
            </w:pPr>
            <w:r>
              <w:rPr>
                <w:rFonts w:hint="eastAsia" w:ascii="宋体" w:hAnsi="宋体" w:eastAsia="宋体" w:cs="宋体"/>
                <w:szCs w:val="21"/>
              </w:rPr>
              <w:t>功能需求：在系统结构允许的合同范围内，根据医院管理和业务变化做出必要的流程变更、字典调整、报表或功能新增、调整和修改。</w:t>
            </w:r>
          </w:p>
          <w:p w14:paraId="5494D556">
            <w:pPr>
              <w:ind w:left="420" w:leftChars="200" w:firstLine="420" w:firstLineChars="200"/>
              <w:rPr>
                <w:rFonts w:ascii="宋体" w:hAnsi="宋体" w:eastAsia="宋体" w:cs="宋体"/>
                <w:szCs w:val="21"/>
              </w:rPr>
            </w:pPr>
            <w:r>
              <w:rPr>
                <w:rFonts w:hint="eastAsia" w:ascii="宋体" w:hAnsi="宋体" w:eastAsia="宋体" w:cs="宋体"/>
                <w:szCs w:val="21"/>
              </w:rPr>
              <w:t>业务需求：</w:t>
            </w:r>
            <w:r>
              <w:rPr>
                <w:rFonts w:hint="eastAsia" w:ascii="宋体" w:hAnsi="宋体" w:eastAsia="宋体" w:cs="宋体"/>
                <w:color w:val="000000"/>
                <w:sz w:val="21"/>
                <w:szCs w:val="21"/>
                <w:lang w:val="en-US" w:eastAsia="zh-CN"/>
              </w:rPr>
              <w:t>根据医院管理和业务变化，在系统结构允许的前提下，提供必要的流程变更、字典调整、报表或功能新增、调整和修改服务。针对该项服务内容，经采购方评估工作量在10个工作日（含）内可完成的，报价方应免费提供；超出10个工作日的工作量，双方按照本需求“服务要求”第4条协商确定费用后实施。</w:t>
            </w:r>
          </w:p>
          <w:p w14:paraId="6CC92BB7">
            <w:pPr>
              <w:ind w:left="420" w:leftChars="200" w:firstLine="0" w:firstLineChars="0"/>
              <w:rPr>
                <w:rFonts w:ascii="宋体" w:hAnsi="宋体" w:eastAsia="宋体" w:cs="宋体"/>
                <w:szCs w:val="21"/>
              </w:rPr>
            </w:pPr>
            <w:r>
              <w:rPr>
                <w:rFonts w:hint="eastAsia" w:ascii="宋体" w:hAnsi="宋体" w:eastAsia="宋体" w:cs="宋体"/>
                <w:szCs w:val="21"/>
              </w:rPr>
              <w:t>1.3.系统集成服务</w:t>
            </w:r>
          </w:p>
          <w:p w14:paraId="7C9F05C3">
            <w:pPr>
              <w:ind w:left="420" w:leftChars="200" w:firstLine="420" w:firstLineChars="200"/>
              <w:rPr>
                <w:rFonts w:ascii="宋体" w:hAnsi="宋体" w:eastAsia="宋体" w:cs="宋体"/>
                <w:szCs w:val="21"/>
              </w:rPr>
            </w:pPr>
            <w:r>
              <w:rPr>
                <w:rFonts w:hint="eastAsia" w:ascii="宋体" w:hAnsi="宋体" w:eastAsia="宋体" w:cs="宋体"/>
                <w:szCs w:val="21"/>
              </w:rPr>
              <w:t>系统维护：负责数据库及系统指定版本的系统软件等系统平台软件的管理、监控和维护。</w:t>
            </w:r>
          </w:p>
          <w:p w14:paraId="7BACF476">
            <w:pPr>
              <w:ind w:left="420" w:leftChars="200" w:firstLine="0" w:firstLineChars="0"/>
              <w:rPr>
                <w:rFonts w:ascii="宋体" w:hAnsi="宋体" w:eastAsia="宋体" w:cs="宋体"/>
                <w:szCs w:val="21"/>
              </w:rPr>
            </w:pPr>
            <w:r>
              <w:rPr>
                <w:rFonts w:hint="eastAsia" w:ascii="宋体" w:hAnsi="宋体" w:eastAsia="宋体" w:cs="宋体"/>
                <w:szCs w:val="21"/>
              </w:rPr>
              <w:t>数据备份：负责医院数据备份包括实时备份、数据转储和系统安全性方案的设计和实施。</w:t>
            </w:r>
          </w:p>
          <w:p w14:paraId="571C4DF2">
            <w:pPr>
              <w:ind w:left="420" w:leftChars="200" w:firstLine="420" w:firstLineChars="200"/>
              <w:rPr>
                <w:rFonts w:cs="宋体" w:asciiTheme="minorEastAsia" w:hAnsiTheme="minorEastAsia"/>
                <w:kern w:val="0"/>
                <w:szCs w:val="21"/>
              </w:rPr>
            </w:pPr>
            <w:r>
              <w:rPr>
                <w:rFonts w:hint="eastAsia" w:ascii="宋体" w:hAnsi="宋体" w:eastAsia="宋体" w:cs="宋体"/>
                <w:szCs w:val="21"/>
              </w:rPr>
              <w:t>例行巡检：定期（1年≥4次）对医院信息系统、服务器、数据库系统进行检查及性能检测，防止异常情况的出现并向甲方提供定期维护计划和结果报表。</w:t>
            </w:r>
          </w:p>
          <w:p w14:paraId="73E7152D">
            <w:pPr>
              <w:rPr>
                <w:rFonts w:cs="宋体" w:asciiTheme="minorEastAsia" w:hAnsiTheme="minorEastAsia"/>
                <w:kern w:val="0"/>
                <w:szCs w:val="21"/>
              </w:rPr>
            </w:pPr>
            <w:r>
              <w:rPr>
                <w:rFonts w:hint="eastAsia" w:cs="宋体" w:asciiTheme="minorEastAsia" w:hAnsiTheme="minorEastAsia"/>
                <w:kern w:val="0"/>
                <w:szCs w:val="21"/>
                <w:lang w:val="en-US" w:eastAsia="zh-CN"/>
              </w:rPr>
              <w:t>二、</w:t>
            </w:r>
            <w:r>
              <w:rPr>
                <w:rFonts w:hint="eastAsia" w:cs="宋体" w:asciiTheme="minorEastAsia" w:hAnsiTheme="minorEastAsia"/>
                <w:kern w:val="0"/>
                <w:szCs w:val="21"/>
              </w:rPr>
              <w:t>H</w:t>
            </w:r>
            <w:r>
              <w:rPr>
                <w:rFonts w:cs="宋体" w:asciiTheme="minorEastAsia" w:hAnsiTheme="minorEastAsia"/>
                <w:kern w:val="0"/>
                <w:szCs w:val="21"/>
              </w:rPr>
              <w:t>RP</w:t>
            </w:r>
            <w:r>
              <w:rPr>
                <w:rFonts w:hint="eastAsia" w:cs="宋体" w:asciiTheme="minorEastAsia" w:hAnsiTheme="minorEastAsia"/>
                <w:kern w:val="0"/>
                <w:szCs w:val="21"/>
              </w:rPr>
              <w:t>系统运维服务范围如下：</w:t>
            </w:r>
          </w:p>
          <w:tbl>
            <w:tblPr>
              <w:tblStyle w:val="13"/>
              <w:tblW w:w="0" w:type="auto"/>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63"/>
              <w:gridCol w:w="6284"/>
            </w:tblGrid>
            <w:tr w14:paraId="6DD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3245E81">
                  <w:pPr>
                    <w:pStyle w:val="6"/>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863" w:type="dxa"/>
                </w:tcPr>
                <w:p w14:paraId="254A37C8">
                  <w:pPr>
                    <w:pStyle w:val="6"/>
                    <w:jc w:val="center"/>
                    <w:rPr>
                      <w:rFonts w:cs="宋体" w:asciiTheme="minorEastAsia" w:hAnsiTheme="minorEastAsia"/>
                      <w:kern w:val="0"/>
                      <w:szCs w:val="21"/>
                    </w:rPr>
                  </w:pPr>
                  <w:r>
                    <w:rPr>
                      <w:rFonts w:hint="eastAsia" w:cs="宋体" w:asciiTheme="minorEastAsia" w:hAnsiTheme="minorEastAsia"/>
                      <w:kern w:val="0"/>
                      <w:szCs w:val="21"/>
                    </w:rPr>
                    <w:t>模块名称</w:t>
                  </w:r>
                </w:p>
              </w:tc>
              <w:tc>
                <w:tcPr>
                  <w:tcW w:w="6284" w:type="dxa"/>
                </w:tcPr>
                <w:p w14:paraId="2B4AC0FC">
                  <w:pPr>
                    <w:pStyle w:val="6"/>
                    <w:jc w:val="center"/>
                    <w:rPr>
                      <w:rFonts w:cs="宋体" w:asciiTheme="minorEastAsia" w:hAnsiTheme="minorEastAsia"/>
                      <w:kern w:val="0"/>
                      <w:szCs w:val="21"/>
                    </w:rPr>
                  </w:pPr>
                  <w:r>
                    <w:rPr>
                      <w:rFonts w:hint="eastAsia" w:cs="宋体" w:asciiTheme="minorEastAsia" w:hAnsiTheme="minorEastAsia"/>
                      <w:kern w:val="0"/>
                      <w:szCs w:val="21"/>
                    </w:rPr>
                    <w:t>具体内容</w:t>
                  </w:r>
                </w:p>
              </w:tc>
            </w:tr>
            <w:tr w14:paraId="724D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6D8B0D24">
                  <w:pPr>
                    <w:pStyle w:val="6"/>
                    <w:jc w:val="center"/>
                    <w:rPr>
                      <w:rFonts w:cs="宋体" w:asciiTheme="minorEastAsia" w:hAnsiTheme="minorEastAsia"/>
                      <w:kern w:val="0"/>
                      <w:szCs w:val="21"/>
                    </w:rPr>
                  </w:pPr>
                  <w:r>
                    <w:rPr>
                      <w:rFonts w:hint="eastAsia" w:cs="宋体" w:asciiTheme="minorEastAsia" w:hAnsiTheme="minorEastAsia"/>
                      <w:kern w:val="0"/>
                      <w:szCs w:val="21"/>
                    </w:rPr>
                    <w:t>1</w:t>
                  </w:r>
                </w:p>
              </w:tc>
              <w:tc>
                <w:tcPr>
                  <w:tcW w:w="1863" w:type="dxa"/>
                </w:tcPr>
                <w:p w14:paraId="0A8421BB">
                  <w:pPr>
                    <w:pStyle w:val="6"/>
                    <w:jc w:val="center"/>
                    <w:rPr>
                      <w:rFonts w:cs="宋体" w:asciiTheme="minorEastAsia" w:hAnsiTheme="minorEastAsia"/>
                      <w:kern w:val="0"/>
                      <w:szCs w:val="21"/>
                    </w:rPr>
                  </w:pPr>
                  <w:r>
                    <w:rPr>
                      <w:rFonts w:hint="eastAsia" w:cs="宋体" w:asciiTheme="minorEastAsia" w:hAnsiTheme="minorEastAsia"/>
                      <w:kern w:val="0"/>
                      <w:szCs w:val="21"/>
                    </w:rPr>
                    <w:t>人力管理系统</w:t>
                  </w:r>
                </w:p>
              </w:tc>
              <w:tc>
                <w:tcPr>
                  <w:tcW w:w="6284" w:type="dxa"/>
                </w:tcPr>
                <w:p w14:paraId="0A0EBBF5">
                  <w:pPr>
                    <w:pStyle w:val="6"/>
                    <w:jc w:val="left"/>
                    <w:rPr>
                      <w:rFonts w:cs="宋体" w:asciiTheme="minorEastAsia" w:hAnsiTheme="minorEastAsia"/>
                      <w:kern w:val="0"/>
                      <w:szCs w:val="21"/>
                    </w:rPr>
                  </w:pPr>
                  <w:r>
                    <w:rPr>
                      <w:rFonts w:hint="eastAsia" w:cs="宋体" w:asciiTheme="minorEastAsia" w:hAnsiTheme="minorEastAsia"/>
                      <w:kern w:val="0"/>
                      <w:szCs w:val="21"/>
                    </w:rPr>
                    <w:t>人事、薪资、培训、福利、招聘、劳动合同等管理</w:t>
                  </w:r>
                </w:p>
              </w:tc>
            </w:tr>
            <w:tr w14:paraId="7B23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DBEE63A">
                  <w:pPr>
                    <w:pStyle w:val="6"/>
                    <w:jc w:val="center"/>
                    <w:rPr>
                      <w:rFonts w:cs="宋体" w:asciiTheme="minorEastAsia" w:hAnsiTheme="minorEastAsia"/>
                      <w:kern w:val="0"/>
                      <w:szCs w:val="21"/>
                    </w:rPr>
                  </w:pPr>
                  <w:r>
                    <w:rPr>
                      <w:rFonts w:hint="eastAsia" w:cs="宋体" w:asciiTheme="minorEastAsia" w:hAnsiTheme="minorEastAsia"/>
                      <w:kern w:val="0"/>
                      <w:szCs w:val="21"/>
                    </w:rPr>
                    <w:t>2</w:t>
                  </w:r>
                </w:p>
              </w:tc>
              <w:tc>
                <w:tcPr>
                  <w:tcW w:w="1863" w:type="dxa"/>
                </w:tcPr>
                <w:p w14:paraId="3F9302BB">
                  <w:pPr>
                    <w:pStyle w:val="6"/>
                    <w:jc w:val="center"/>
                    <w:rPr>
                      <w:rFonts w:cs="宋体" w:asciiTheme="minorEastAsia" w:hAnsiTheme="minorEastAsia"/>
                      <w:kern w:val="0"/>
                      <w:szCs w:val="21"/>
                    </w:rPr>
                  </w:pPr>
                  <w:r>
                    <w:rPr>
                      <w:rFonts w:hint="eastAsia" w:cs="宋体" w:asciiTheme="minorEastAsia" w:hAnsiTheme="minorEastAsia"/>
                      <w:kern w:val="0"/>
                      <w:szCs w:val="21"/>
                    </w:rPr>
                    <w:t>财务核算</w:t>
                  </w:r>
                </w:p>
              </w:tc>
              <w:tc>
                <w:tcPr>
                  <w:tcW w:w="6284" w:type="dxa"/>
                </w:tcPr>
                <w:p w14:paraId="05DC9A9A">
                  <w:pPr>
                    <w:pStyle w:val="6"/>
                    <w:jc w:val="left"/>
                    <w:rPr>
                      <w:rFonts w:cs="宋体" w:asciiTheme="minorEastAsia" w:hAnsiTheme="minorEastAsia"/>
                      <w:kern w:val="0"/>
                      <w:szCs w:val="21"/>
                    </w:rPr>
                  </w:pPr>
                  <w:r>
                    <w:rPr>
                      <w:rFonts w:hint="eastAsia" w:cs="宋体" w:asciiTheme="minorEastAsia" w:hAnsiTheme="minorEastAsia"/>
                      <w:kern w:val="0"/>
                      <w:szCs w:val="21"/>
                    </w:rPr>
                    <w:t>总账、现金管理、应收、应付、院内票据管理等</w:t>
                  </w:r>
                </w:p>
              </w:tc>
            </w:tr>
            <w:tr w14:paraId="327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3510422">
                  <w:pPr>
                    <w:pStyle w:val="6"/>
                    <w:jc w:val="center"/>
                    <w:rPr>
                      <w:rFonts w:cs="宋体" w:asciiTheme="minorEastAsia" w:hAnsiTheme="minorEastAsia"/>
                      <w:kern w:val="0"/>
                      <w:szCs w:val="21"/>
                    </w:rPr>
                  </w:pPr>
                  <w:r>
                    <w:rPr>
                      <w:rFonts w:hint="eastAsia" w:cs="宋体" w:asciiTheme="minorEastAsia" w:hAnsiTheme="minorEastAsia"/>
                      <w:kern w:val="0"/>
                      <w:szCs w:val="21"/>
                    </w:rPr>
                    <w:t>3</w:t>
                  </w:r>
                </w:p>
              </w:tc>
              <w:tc>
                <w:tcPr>
                  <w:tcW w:w="1863" w:type="dxa"/>
                </w:tcPr>
                <w:p w14:paraId="76185EB2">
                  <w:pPr>
                    <w:pStyle w:val="6"/>
                    <w:jc w:val="center"/>
                    <w:rPr>
                      <w:rFonts w:cs="宋体" w:asciiTheme="minorEastAsia" w:hAnsiTheme="minorEastAsia"/>
                      <w:kern w:val="0"/>
                      <w:szCs w:val="21"/>
                      <w:highlight w:val="yellow"/>
                    </w:rPr>
                  </w:pPr>
                  <w:r>
                    <w:rPr>
                      <w:rFonts w:hint="eastAsia" w:cs="宋体" w:asciiTheme="minorEastAsia" w:hAnsiTheme="minorEastAsia"/>
                      <w:kern w:val="0"/>
                      <w:szCs w:val="21"/>
                    </w:rPr>
                    <w:t>预算管理系统</w:t>
                  </w:r>
                </w:p>
              </w:tc>
              <w:tc>
                <w:tcPr>
                  <w:tcW w:w="6284" w:type="dxa"/>
                </w:tcPr>
                <w:p w14:paraId="1FF5C468">
                  <w:pPr>
                    <w:pStyle w:val="6"/>
                    <w:jc w:val="left"/>
                    <w:rPr>
                      <w:rFonts w:cs="宋体" w:asciiTheme="minorEastAsia" w:hAnsiTheme="minorEastAsia"/>
                      <w:kern w:val="0"/>
                      <w:szCs w:val="21"/>
                      <w:highlight w:val="yellow"/>
                    </w:rPr>
                  </w:pPr>
                  <w:r>
                    <w:rPr>
                      <w:rFonts w:hint="eastAsia" w:cs="宋体" w:asciiTheme="minorEastAsia" w:hAnsiTheme="minorEastAsia"/>
                      <w:kern w:val="0"/>
                      <w:szCs w:val="21"/>
                    </w:rPr>
                    <w:t>预算编制、预算调整、预算控制、预算分析报表</w:t>
                  </w:r>
                </w:p>
              </w:tc>
            </w:tr>
            <w:tr w14:paraId="169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71112E47">
                  <w:pPr>
                    <w:pStyle w:val="6"/>
                    <w:jc w:val="center"/>
                    <w:rPr>
                      <w:rFonts w:cs="宋体" w:asciiTheme="minorEastAsia" w:hAnsiTheme="minorEastAsia"/>
                      <w:kern w:val="0"/>
                      <w:szCs w:val="21"/>
                    </w:rPr>
                  </w:pPr>
                  <w:r>
                    <w:rPr>
                      <w:rFonts w:hint="eastAsia" w:cs="宋体" w:asciiTheme="minorEastAsia" w:hAnsiTheme="minorEastAsia"/>
                      <w:kern w:val="0"/>
                      <w:szCs w:val="21"/>
                    </w:rPr>
                    <w:t>4</w:t>
                  </w:r>
                </w:p>
              </w:tc>
              <w:tc>
                <w:tcPr>
                  <w:tcW w:w="1863" w:type="dxa"/>
                </w:tcPr>
                <w:p w14:paraId="3B2952CE">
                  <w:pPr>
                    <w:pStyle w:val="6"/>
                    <w:jc w:val="center"/>
                    <w:rPr>
                      <w:rFonts w:cs="宋体" w:asciiTheme="minorEastAsia" w:hAnsiTheme="minorEastAsia"/>
                      <w:kern w:val="0"/>
                      <w:szCs w:val="21"/>
                    </w:rPr>
                  </w:pPr>
                  <w:r>
                    <w:rPr>
                      <w:rFonts w:hint="eastAsia" w:cs="宋体" w:asciiTheme="minorEastAsia" w:hAnsiTheme="minorEastAsia"/>
                      <w:kern w:val="0"/>
                      <w:szCs w:val="21"/>
                    </w:rPr>
                    <w:t>资产设备管理系统</w:t>
                  </w:r>
                </w:p>
              </w:tc>
              <w:tc>
                <w:tcPr>
                  <w:tcW w:w="6284" w:type="dxa"/>
                </w:tcPr>
                <w:p w14:paraId="3B5A69CD">
                  <w:pPr>
                    <w:pStyle w:val="6"/>
                    <w:jc w:val="left"/>
                    <w:rPr>
                      <w:rFonts w:cs="宋体" w:asciiTheme="minorEastAsia" w:hAnsiTheme="minorEastAsia"/>
                      <w:kern w:val="0"/>
                      <w:szCs w:val="21"/>
                    </w:rPr>
                  </w:pPr>
                  <w:r>
                    <w:rPr>
                      <w:rFonts w:hint="eastAsia" w:cs="宋体" w:asciiTheme="minorEastAsia" w:hAnsiTheme="minorEastAsia"/>
                      <w:kern w:val="0"/>
                      <w:szCs w:val="21"/>
                    </w:rPr>
                    <w:t>资产信息管理、资产采购管理、资产库存管理、资产租赁管理、设备折旧、设备报废、设备调拨、设备盘点管理、维修维护管理、设备计量管理、资产卡片管理、设备运行管理等</w:t>
                  </w:r>
                </w:p>
              </w:tc>
            </w:tr>
            <w:tr w14:paraId="221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F208C02">
                  <w:pPr>
                    <w:pStyle w:val="6"/>
                    <w:jc w:val="center"/>
                    <w:rPr>
                      <w:rFonts w:cs="宋体" w:asciiTheme="minorEastAsia" w:hAnsiTheme="minorEastAsia"/>
                      <w:kern w:val="0"/>
                      <w:szCs w:val="21"/>
                    </w:rPr>
                  </w:pPr>
                  <w:r>
                    <w:rPr>
                      <w:rFonts w:hint="eastAsia" w:cs="宋体" w:asciiTheme="minorEastAsia" w:hAnsiTheme="minorEastAsia"/>
                      <w:kern w:val="0"/>
                      <w:szCs w:val="21"/>
                    </w:rPr>
                    <w:t>5</w:t>
                  </w:r>
                </w:p>
              </w:tc>
              <w:tc>
                <w:tcPr>
                  <w:tcW w:w="1863" w:type="dxa"/>
                </w:tcPr>
                <w:p w14:paraId="3EA7EDA9">
                  <w:pPr>
                    <w:pStyle w:val="6"/>
                    <w:jc w:val="center"/>
                    <w:rPr>
                      <w:rFonts w:cs="宋体" w:asciiTheme="minorEastAsia" w:hAnsiTheme="minorEastAsia"/>
                      <w:kern w:val="0"/>
                      <w:szCs w:val="21"/>
                    </w:rPr>
                  </w:pPr>
                  <w:r>
                    <w:rPr>
                      <w:rFonts w:hint="eastAsia" w:cs="宋体" w:asciiTheme="minorEastAsia" w:hAnsiTheme="minorEastAsia"/>
                      <w:kern w:val="0"/>
                      <w:szCs w:val="21"/>
                    </w:rPr>
                    <w:t>物流管理系统</w:t>
                  </w:r>
                </w:p>
              </w:tc>
              <w:tc>
                <w:tcPr>
                  <w:tcW w:w="6284" w:type="dxa"/>
                </w:tcPr>
                <w:p w14:paraId="4B554A6E">
                  <w:pPr>
                    <w:pStyle w:val="6"/>
                    <w:jc w:val="left"/>
                    <w:rPr>
                      <w:rFonts w:cs="宋体" w:asciiTheme="minorEastAsia" w:hAnsiTheme="minorEastAsia"/>
                      <w:kern w:val="0"/>
                      <w:szCs w:val="21"/>
                    </w:rPr>
                  </w:pPr>
                  <w:r>
                    <w:rPr>
                      <w:rFonts w:hint="eastAsia" w:cs="宋体" w:asciiTheme="minorEastAsia" w:hAnsiTheme="minorEastAsia"/>
                      <w:kern w:val="0"/>
                      <w:szCs w:val="21"/>
                    </w:rPr>
                    <w:t>物资基础信息、供应商管理、采购管理、库存管理、高值耗材管理、二级库</w:t>
                  </w:r>
                </w:p>
              </w:tc>
            </w:tr>
            <w:tr w14:paraId="0A08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2CE27DD">
                  <w:pPr>
                    <w:pStyle w:val="6"/>
                    <w:jc w:val="center"/>
                    <w:rPr>
                      <w:rFonts w:cs="宋体" w:asciiTheme="minorEastAsia" w:hAnsiTheme="minorEastAsia"/>
                      <w:kern w:val="0"/>
                      <w:szCs w:val="21"/>
                    </w:rPr>
                  </w:pPr>
                  <w:r>
                    <w:rPr>
                      <w:rFonts w:hint="eastAsia" w:cs="宋体" w:asciiTheme="minorEastAsia" w:hAnsiTheme="minorEastAsia"/>
                      <w:kern w:val="0"/>
                      <w:szCs w:val="21"/>
                    </w:rPr>
                    <w:t>6</w:t>
                  </w:r>
                </w:p>
              </w:tc>
              <w:tc>
                <w:tcPr>
                  <w:tcW w:w="1863" w:type="dxa"/>
                </w:tcPr>
                <w:p w14:paraId="59DC0620">
                  <w:pPr>
                    <w:pStyle w:val="6"/>
                    <w:jc w:val="center"/>
                    <w:rPr>
                      <w:rFonts w:cs="宋体" w:asciiTheme="minorEastAsia" w:hAnsiTheme="minorEastAsia"/>
                      <w:kern w:val="0"/>
                      <w:szCs w:val="21"/>
                    </w:rPr>
                  </w:pPr>
                  <w:r>
                    <w:rPr>
                      <w:rFonts w:hint="eastAsia" w:cs="宋体" w:asciiTheme="minorEastAsia" w:hAnsiTheme="minorEastAsia"/>
                      <w:kern w:val="0"/>
                      <w:szCs w:val="21"/>
                    </w:rPr>
                    <w:t>集成平台接口</w:t>
                  </w:r>
                </w:p>
              </w:tc>
              <w:tc>
                <w:tcPr>
                  <w:tcW w:w="6284" w:type="dxa"/>
                </w:tcPr>
                <w:p w14:paraId="68E3E658">
                  <w:pPr>
                    <w:pStyle w:val="6"/>
                    <w:jc w:val="left"/>
                    <w:rPr>
                      <w:rFonts w:cs="宋体" w:asciiTheme="minorEastAsia" w:hAnsiTheme="minorEastAsia"/>
                      <w:kern w:val="0"/>
                      <w:szCs w:val="21"/>
                    </w:rPr>
                  </w:pPr>
                  <w:r>
                    <w:rPr>
                      <w:rFonts w:hint="eastAsia" w:cs="宋体" w:asciiTheme="minorEastAsia" w:hAnsiTheme="minorEastAsia"/>
                      <w:kern w:val="0"/>
                      <w:szCs w:val="21"/>
                    </w:rPr>
                    <w:t>医院信息集成平台接口</w:t>
                  </w:r>
                </w:p>
              </w:tc>
            </w:tr>
          </w:tbl>
          <w:p w14:paraId="42A04736">
            <w:pPr>
              <w:pStyle w:val="6"/>
              <w:rPr>
                <w:rFonts w:ascii="宋体" w:hAnsi="宋体" w:eastAsia="宋体" w:cs="宋体"/>
                <w:szCs w:val="21"/>
              </w:rPr>
            </w:pPr>
          </w:p>
        </w:tc>
      </w:tr>
      <w:bookmarkEnd w:id="0"/>
      <w:tr w14:paraId="0AF7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113" w:type="dxa"/>
            <w:vAlign w:val="center"/>
          </w:tcPr>
          <w:p w14:paraId="69ACA766">
            <w:pPr>
              <w:rPr>
                <w:rFonts w:ascii="宋体" w:hAnsi="宋体" w:eastAsia="宋体" w:cs="宋体"/>
                <w:szCs w:val="21"/>
              </w:rPr>
            </w:pPr>
            <w:r>
              <w:rPr>
                <w:rFonts w:hint="eastAsia" w:ascii="宋体" w:hAnsi="宋体" w:eastAsia="宋体" w:cs="宋体"/>
                <w:szCs w:val="21"/>
              </w:rPr>
              <w:t>服务要求</w:t>
            </w:r>
          </w:p>
        </w:tc>
        <w:tc>
          <w:tcPr>
            <w:tcW w:w="9427" w:type="dxa"/>
            <w:gridSpan w:val="3"/>
            <w:vAlign w:val="center"/>
          </w:tcPr>
          <w:p w14:paraId="060943D0">
            <w:pPr>
              <w:rPr>
                <w:rFonts w:ascii="宋体" w:hAnsi="宋体" w:eastAsia="宋体" w:cs="宋体"/>
                <w:szCs w:val="21"/>
              </w:rPr>
            </w:pPr>
            <w:r>
              <w:rPr>
                <w:rFonts w:hint="eastAsia" w:ascii="宋体" w:hAnsi="宋体" w:eastAsia="宋体" w:cs="宋体"/>
                <w:szCs w:val="21"/>
              </w:rPr>
              <w:t>服务要求：</w:t>
            </w:r>
          </w:p>
          <w:p w14:paraId="78D03118">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应指派不少于1名专业技术人员负责本项目的运维服务，需提供7×24小时不间断响应服务。医院可通过电话、微信或系统工单等指定渠道提出服务需求或问题报修。报价方应在接到通知后1小时内通过指定渠道予以响应，并指派工程师开始问题分析与处理。若问题无法远程解决，技术支持人员须在4小时内抵达医院现场进行处理。每次服务完成后，须经医院方签字确认方可视为工单关闭。</w:t>
            </w:r>
          </w:p>
          <w:p w14:paraId="116154AA">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必须完整持有该系统的源代码及全部技术文档（包括但不限于数据库表结构、数据关联逻辑与系统整体架构），以确保能够迅速定位数据异常、性能瓶颈等各类问题，同时具备系统底层问题排查及后续二次需求开发的能力。</w:t>
            </w:r>
          </w:p>
          <w:p w14:paraId="76A8A25F">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报价方应能够根据医院提出的合理业务需求，提供包括功能优化、接口拓展等在内的定制化开发服务。</w:t>
            </w:r>
          </w:p>
          <w:p w14:paraId="0F77B515">
            <w:pPr>
              <w:pStyle w:val="23"/>
              <w:numPr>
                <w:ilvl w:val="0"/>
                <w:numId w:val="1"/>
              </w:numPr>
              <w:ind w:firstLineChars="0"/>
              <w:rPr>
                <w:rFonts w:ascii="宋体" w:hAnsi="宋体" w:eastAsia="宋体" w:cs="宋体"/>
                <w:szCs w:val="21"/>
              </w:rPr>
            </w:pPr>
            <w:r>
              <w:rPr>
                <w:rFonts w:hint="eastAsia" w:ascii="宋体" w:hAnsi="宋体" w:eastAsia="宋体" w:cs="宋体"/>
                <w:szCs w:val="21"/>
              </w:rPr>
              <w:t>在运维服务期内，对“服务清单及要求”所列的所有系统及服务内容，经采购方评估单项运维或开发需求工作量在10个工作日（含）内可完成的，报价方不得另行收取费用；经采购方评估单项运维或开发需求工作量累计超10个工作日，双方友好协商确定费用，并按照医院相关采购流程执行后方可实施。对于因医院业务发展需要的新系统对接、新增接口开发等需求，其工作量评估与费用计算标准应在合同附件中明确。报价方应在报价文件中提供标准化的开发人天单价，作为后续议价的依据。</w:t>
            </w:r>
          </w:p>
          <w:p w14:paraId="6592DC18">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需医院管理要求至少每季度提供一次全面的系统与服务器巡检服务，并向医院提交书面报告。巡检内容需涵盖：服务器硬件及操作系统性能评估（CPU、内存、磁盘、网络）；各应用服务状态检查；日志安全审计分析；漏洞扫描与基线符合性检查。报价方需按医院要求制定数据备份机制，每两个月需按医院要求至少开展一次数据有效性恢复测试，并提供相关报告。</w:t>
            </w:r>
          </w:p>
          <w:p w14:paraId="3C50CDFD">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应建立系统安全运维机制，定期进行安全漏洞扫描与风险评估，并按要求向医院提供相关报告。对于医院或第三方安全检测发现的系统漏洞、安全隐患或不符合网络安全规范的问题，报价方须及时制定整改方案，并按网络安全管理规定（监管单位或采购方）的时间内完成修复与升级。涉及紧急高危漏洞时，报价方应在接到通知后立即启动应急响应，并在24小时内修复漏洞，确无法按时限修复的，也需提供临时防护措施或解决方案，确保系统持续符合网络安全等级保护及相关法律法规的要求。</w:t>
            </w:r>
          </w:p>
          <w:p w14:paraId="10C2973F">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报价方应确保本项目内系统已对接的所有接口的数据传输稳定，保障数据实时、准确、完整地交互。</w:t>
            </w:r>
          </w:p>
          <w:p w14:paraId="2408D398">
            <w:pPr>
              <w:pStyle w:val="23"/>
              <w:numPr>
                <w:ilvl w:val="0"/>
                <w:numId w:val="1"/>
              </w:numPr>
              <w:ind w:firstLineChars="0"/>
              <w:rPr>
                <w:rFonts w:ascii="宋体" w:hAnsi="宋体" w:eastAsia="宋体" w:cs="宋体"/>
                <w:szCs w:val="21"/>
              </w:rPr>
            </w:pPr>
            <w:r>
              <w:rPr>
                <w:rFonts w:hint="eastAsia" w:ascii="宋体" w:hAnsi="宋体" w:eastAsia="宋体" w:cs="宋体"/>
                <w:szCs w:val="21"/>
              </w:rPr>
              <w:t>报价方应在服务期内，每季度更新一次系统技术文档（包括架构图、部署手册、接口文档等）。服务期满前，须提供完整的年度运维知识转移培训，并移交所有运维过程文档。</w:t>
            </w:r>
          </w:p>
          <w:p w14:paraId="1098BE7B">
            <w:pPr>
              <w:pStyle w:val="23"/>
              <w:numPr>
                <w:ilvl w:val="0"/>
                <w:numId w:val="1"/>
              </w:numPr>
              <w:ind w:firstLineChars="0"/>
              <w:rPr>
                <w:rFonts w:ascii="宋体" w:hAnsi="宋体" w:eastAsia="宋体" w:cs="宋体"/>
                <w:szCs w:val="21"/>
              </w:rPr>
            </w:pPr>
            <w:r>
              <w:rPr>
                <w:rFonts w:hint="eastAsia" w:ascii="宋体" w:hAnsi="宋体" w:eastAsia="宋体" w:cs="宋体"/>
                <w:szCs w:val="21"/>
              </w:rPr>
              <w:t>服务级别协议（SLA）与考核标准</w:t>
            </w:r>
            <w:r>
              <w:rPr>
                <w:rFonts w:hint="eastAsia" w:ascii="宋体" w:hAnsi="宋体" w:eastAsia="宋体" w:cs="宋体"/>
                <w:szCs w:val="21"/>
              </w:rPr>
              <w:br w:type="textWrapping"/>
            </w:r>
            <w:r>
              <w:rPr>
                <w:rFonts w:hint="eastAsia" w:ascii="宋体" w:hAnsi="宋体" w:eastAsia="宋体" w:cs="宋体"/>
                <w:szCs w:val="21"/>
              </w:rPr>
              <w:t xml:space="preserve">    10.1系统可用性：核心业务模块（标注●号）月度累计可用性不低于99.5%。（计算公式：可用性=(1-计划外不可用时间/月度总时间)×100%）</w:t>
            </w:r>
            <w:r>
              <w:rPr>
                <w:rFonts w:hint="eastAsia" w:ascii="宋体" w:hAnsi="宋体" w:eastAsia="宋体" w:cs="宋体"/>
                <w:szCs w:val="21"/>
              </w:rPr>
              <w:br w:type="textWrapping"/>
            </w:r>
            <w:r>
              <w:rPr>
                <w:rFonts w:hint="eastAsia" w:ascii="宋体" w:hAnsi="宋体" w:eastAsia="宋体" w:cs="宋体"/>
                <w:szCs w:val="21"/>
              </w:rPr>
              <w:t xml:space="preserve">    10.2 数据质量：通过平台交互的核心业务数据（如患者主索引、诊疗记录）准确性要求100%；核心数据同步至目标系统的延迟时间不超过5分钟。</w:t>
            </w:r>
            <w:r>
              <w:rPr>
                <w:rFonts w:hint="eastAsia" w:ascii="宋体" w:hAnsi="宋体" w:eastAsia="宋体" w:cs="宋体"/>
                <w:szCs w:val="21"/>
              </w:rPr>
              <w:br w:type="textWrapping"/>
            </w:r>
            <w:r>
              <w:rPr>
                <w:rFonts w:hint="eastAsia" w:ascii="宋体" w:hAnsi="宋体" w:eastAsia="宋体" w:cs="宋体"/>
                <w:szCs w:val="21"/>
              </w:rPr>
              <w:t xml:space="preserve">    10.3 故障处理：</w:t>
            </w:r>
          </w:p>
          <w:p w14:paraId="457E9300">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P1级（系统瘫痪：</w:t>
            </w:r>
            <w:r>
              <w:rPr>
                <w:rFonts w:ascii="Segoe UI" w:hAnsi="Segoe UI" w:eastAsia="Segoe UI" w:cs="Segoe UI"/>
                <w:color w:val="auto"/>
                <w:szCs w:val="21"/>
                <w:u w:val="none"/>
                <w:shd w:val="clear" w:color="auto" w:fill="FFFFFF"/>
              </w:rPr>
              <w:t>平台核心模块（</w:t>
            </w:r>
            <w:r>
              <w:rPr>
                <w:rFonts w:hint="eastAsia" w:ascii="宋体" w:hAnsi="宋体" w:eastAsia="宋体" w:cs="Segoe UI"/>
                <w:color w:val="auto"/>
                <w:szCs w:val="21"/>
                <w:u w:val="none"/>
                <w:shd w:val="clear" w:color="auto" w:fill="FFFFFF"/>
              </w:rPr>
              <w:t>●</w:t>
            </w:r>
            <w:r>
              <w:rPr>
                <w:rFonts w:ascii="Segoe UI" w:hAnsi="Segoe UI" w:eastAsia="Segoe UI" w:cs="Segoe UI"/>
                <w:color w:val="auto"/>
                <w:szCs w:val="21"/>
                <w:u w:val="none"/>
                <w:shd w:val="clear" w:color="auto" w:fill="FFFFFF"/>
              </w:rPr>
              <w:t>标记）完全瘫痪，导致全院或主要业务中断。</w:t>
            </w:r>
            <w:r>
              <w:rPr>
                <w:rFonts w:hint="eastAsia" w:ascii="宋体" w:hAnsi="宋体" w:eastAsia="宋体" w:cs="宋体"/>
                <w:color w:val="auto"/>
                <w:szCs w:val="21"/>
                <w:u w:val="none"/>
              </w:rPr>
              <w:t>）需在2小时内恢复服务；</w:t>
            </w:r>
          </w:p>
          <w:p w14:paraId="642A60BE">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P2级（核心功能严重受损：</w:t>
            </w:r>
            <w:r>
              <w:rPr>
                <w:rFonts w:ascii="Segoe UI" w:hAnsi="Segoe UI" w:eastAsia="Segoe UI" w:cs="Segoe UI"/>
                <w:color w:val="auto"/>
                <w:szCs w:val="21"/>
                <w:u w:val="none"/>
                <w:shd w:val="clear" w:color="auto" w:fill="FFFFFF"/>
              </w:rPr>
              <w:t>核心功能严重受损或性能急剧下降，严重影响部分科室业务。</w:t>
            </w:r>
            <w:r>
              <w:rPr>
                <w:rFonts w:hint="eastAsia" w:ascii="宋体" w:hAnsi="宋体" w:eastAsia="宋体" w:cs="宋体"/>
                <w:color w:val="auto"/>
                <w:szCs w:val="21"/>
                <w:u w:val="none"/>
              </w:rPr>
              <w:t>）需在4小时内解决；</w:t>
            </w:r>
          </w:p>
          <w:p w14:paraId="54AEDD0B">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P3级（一般故障：非核心功能异常，存在变通方案，影响用户体验。）需在1个工作日内解决；</w:t>
            </w:r>
          </w:p>
          <w:p w14:paraId="55030DA1">
            <w:pPr>
              <w:pStyle w:val="23"/>
              <w:numPr>
                <w:ilvl w:val="255"/>
                <w:numId w:val="0"/>
              </w:numPr>
              <w:ind w:left="840" w:leftChars="400" w:firstLine="420" w:firstLineChars="200"/>
              <w:rPr>
                <w:rFonts w:ascii="宋体" w:hAnsi="宋体" w:eastAsia="宋体" w:cs="宋体"/>
                <w:color w:val="auto"/>
                <w:szCs w:val="21"/>
                <w:u w:val="none"/>
              </w:rPr>
            </w:pPr>
            <w:r>
              <w:rPr>
                <w:rFonts w:hint="eastAsia" w:ascii="宋体" w:hAnsi="宋体" w:eastAsia="宋体" w:cs="宋体"/>
                <w:color w:val="auto"/>
                <w:szCs w:val="21"/>
                <w:u w:val="none"/>
              </w:rPr>
              <w:t>P4级（轻微故障：咨询类问题或轻微瑕疵。）需在5个工作日内解决。</w:t>
            </w:r>
          </w:p>
          <w:p w14:paraId="5DE1E74F">
            <w:pPr>
              <w:pStyle w:val="23"/>
              <w:numPr>
                <w:ilvl w:val="255"/>
                <w:numId w:val="0"/>
              </w:numPr>
              <w:ind w:left="840" w:leftChars="400" w:firstLine="420" w:firstLineChars="200"/>
              <w:rPr>
                <w:rFonts w:ascii="宋体" w:hAnsi="宋体" w:eastAsia="宋体" w:cs="宋体"/>
                <w:szCs w:val="21"/>
              </w:rPr>
            </w:pPr>
            <w:r>
              <w:rPr>
                <w:rFonts w:hint="eastAsia" w:ascii="宋体" w:hAnsi="宋体" w:eastAsia="宋体" w:cs="宋体"/>
                <w:szCs w:val="21"/>
              </w:rPr>
              <w:t>10.4 考核与扣罚：上述SLA指标将纳入季度考核（见商务需求3.1）。若未达标，医院有权根据合同约定按比例扣减当期服务费用。</w:t>
            </w:r>
          </w:p>
          <w:p w14:paraId="6E8D2836">
            <w:pPr>
              <w:pStyle w:val="23"/>
              <w:numPr>
                <w:ilvl w:val="0"/>
                <w:numId w:val="1"/>
              </w:numPr>
              <w:ind w:firstLineChars="0"/>
              <w:rPr>
                <w:rFonts w:ascii="宋体" w:hAnsi="宋体" w:eastAsia="宋体" w:cs="宋体"/>
                <w:szCs w:val="21"/>
              </w:rPr>
            </w:pPr>
            <w:r>
              <w:rPr>
                <w:rFonts w:hint="eastAsia" w:ascii="宋体" w:hAnsi="宋体" w:eastAsia="宋体" w:cs="宋体"/>
                <w:szCs w:val="21"/>
              </w:rPr>
              <w:t>本次运维服务的范围，不包括“南方医科大学深圳口腔医院（坪山）电子病历应用水平（四级）建设项目”中所涉及的相关建设内容。</w:t>
            </w:r>
          </w:p>
        </w:tc>
      </w:tr>
      <w:tr w14:paraId="56D2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76" w:hRule="atLeast"/>
          <w:tblCellSpacing w:w="0" w:type="dxa"/>
          <w:jc w:val="center"/>
        </w:trPr>
        <w:tc>
          <w:tcPr>
            <w:tcW w:w="1113" w:type="dxa"/>
            <w:vAlign w:val="center"/>
          </w:tcPr>
          <w:p w14:paraId="494FEA8F">
            <w:pPr>
              <w:rPr>
                <w:rFonts w:ascii="宋体" w:hAnsi="宋体" w:eastAsia="宋体" w:cs="宋体"/>
                <w:szCs w:val="21"/>
              </w:rPr>
            </w:pPr>
            <w:r>
              <w:rPr>
                <w:rFonts w:hint="eastAsia" w:ascii="宋体" w:hAnsi="宋体" w:eastAsia="宋体" w:cs="宋体"/>
                <w:szCs w:val="21"/>
              </w:rPr>
              <w:t>商务需求</w:t>
            </w:r>
          </w:p>
        </w:tc>
        <w:tc>
          <w:tcPr>
            <w:tcW w:w="9427" w:type="dxa"/>
            <w:gridSpan w:val="3"/>
            <w:vAlign w:val="center"/>
          </w:tcPr>
          <w:tbl>
            <w:tblPr>
              <w:tblStyle w:val="13"/>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475"/>
            </w:tblGrid>
            <w:tr w14:paraId="45AE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14:paraId="60BA7464">
                  <w:pPr>
                    <w:rPr>
                      <w:rFonts w:ascii="宋体" w:hAnsi="宋体" w:eastAsia="宋体" w:cs="宋体"/>
                      <w:szCs w:val="21"/>
                    </w:rPr>
                  </w:pPr>
                  <w:r>
                    <w:rPr>
                      <w:rFonts w:hint="eastAsia" w:ascii="宋体" w:hAnsi="宋体" w:eastAsia="宋体" w:cs="宋体"/>
                      <w:szCs w:val="21"/>
                    </w:rPr>
                    <w:t>1.服务期限</w:t>
                  </w:r>
                </w:p>
              </w:tc>
              <w:tc>
                <w:tcPr>
                  <w:tcW w:w="7475" w:type="dxa"/>
                </w:tcPr>
                <w:p w14:paraId="46A77D0B">
                  <w:pPr>
                    <w:rPr>
                      <w:rFonts w:ascii="宋体" w:hAnsi="宋体" w:eastAsia="宋体" w:cs="宋体"/>
                      <w:szCs w:val="21"/>
                    </w:rPr>
                  </w:pPr>
                  <w:r>
                    <w:rPr>
                      <w:rFonts w:hint="eastAsia" w:ascii="宋体" w:hAnsi="宋体" w:eastAsia="宋体" w:cs="宋体"/>
                      <w:szCs w:val="21"/>
                      <w:lang w:bidi="ar"/>
                    </w:rPr>
                    <w:t>自签订之日起，一年内。</w:t>
                  </w:r>
                </w:p>
              </w:tc>
            </w:tr>
            <w:tr w14:paraId="227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14:paraId="07DE2C21">
                  <w:pPr>
                    <w:jc w:val="left"/>
                    <w:rPr>
                      <w:rFonts w:ascii="宋体" w:hAnsi="宋体" w:eastAsia="宋体" w:cs="宋体"/>
                      <w:szCs w:val="21"/>
                    </w:rPr>
                  </w:pPr>
                  <w:r>
                    <w:rPr>
                      <w:rFonts w:hint="eastAsia" w:ascii="宋体" w:hAnsi="宋体" w:eastAsia="宋体" w:cs="宋体"/>
                      <w:szCs w:val="21"/>
                    </w:rPr>
                    <w:t>2.预算说明</w:t>
                  </w:r>
                </w:p>
              </w:tc>
              <w:tc>
                <w:tcPr>
                  <w:tcW w:w="7475" w:type="dxa"/>
                  <w:vAlign w:val="center"/>
                </w:tcPr>
                <w:p w14:paraId="150A2631">
                  <w:pPr>
                    <w:rPr>
                      <w:rFonts w:ascii="宋体" w:hAnsi="宋体" w:eastAsia="宋体" w:cs="宋体"/>
                      <w:szCs w:val="21"/>
                    </w:rPr>
                  </w:pPr>
                  <w:r>
                    <w:rPr>
                      <w:rFonts w:hint="eastAsia" w:ascii="宋体" w:hAnsi="宋体" w:eastAsia="宋体" w:cs="宋体"/>
                      <w:szCs w:val="21"/>
                    </w:rPr>
                    <w:t>本项目报价不允许超过本次预算限额。</w:t>
                  </w:r>
                </w:p>
              </w:tc>
            </w:tr>
            <w:tr w14:paraId="344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14:paraId="59E1F9E2">
                  <w:pPr>
                    <w:rPr>
                      <w:rFonts w:ascii="宋体" w:hAnsi="宋体" w:eastAsia="宋体" w:cs="宋体"/>
                      <w:szCs w:val="21"/>
                    </w:rPr>
                  </w:pPr>
                  <w:r>
                    <w:rPr>
                      <w:rFonts w:hint="eastAsia" w:ascii="宋体" w:hAnsi="宋体" w:eastAsia="宋体" w:cs="宋体"/>
                      <w:szCs w:val="21"/>
                    </w:rPr>
                    <w:t>3.验收要求</w:t>
                  </w:r>
                </w:p>
              </w:tc>
              <w:tc>
                <w:tcPr>
                  <w:tcW w:w="7475" w:type="dxa"/>
                </w:tcPr>
                <w:p w14:paraId="0EF3DD0B">
                  <w:pPr>
                    <w:rPr>
                      <w:rFonts w:ascii="宋体" w:hAnsi="宋体" w:eastAsia="宋体" w:cs="宋体"/>
                      <w:szCs w:val="21"/>
                    </w:rPr>
                  </w:pPr>
                  <w:r>
                    <w:rPr>
                      <w:rFonts w:hint="eastAsia" w:ascii="宋体" w:hAnsi="宋体" w:eastAsia="宋体" w:cs="宋体"/>
                      <w:szCs w:val="21"/>
                    </w:rPr>
                    <w:t>3.1 日常考核验收：医院将根据本合同约定的服务要求及SLA（服务级别协议）条款，按季度对服务进行考核。考核结果作为服务费支付的依据之一。</w:t>
                  </w:r>
                  <w:r>
                    <w:rPr>
                      <w:rFonts w:hint="eastAsia" w:ascii="宋体" w:hAnsi="宋体" w:eastAsia="宋体" w:cs="宋体"/>
                      <w:szCs w:val="21"/>
                    </w:rPr>
                    <w:br w:type="textWrapping"/>
                  </w:r>
                  <w:r>
                    <w:rPr>
                      <w:rFonts w:hint="eastAsia" w:ascii="宋体" w:hAnsi="宋体" w:eastAsia="宋体" w:cs="宋体"/>
                      <w:szCs w:val="21"/>
                    </w:rPr>
                    <w:t>3.2 最终验收：服务期满后，中标人需提交年度运维总结报告。采购人根据全年服务履约情况、故障记录、问题解决满意度及总结报告，组织最终验收。</w:t>
                  </w:r>
                </w:p>
              </w:tc>
            </w:tr>
            <w:tr w14:paraId="1F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14:paraId="1DD163FE">
                  <w:pPr>
                    <w:rPr>
                      <w:rFonts w:ascii="宋体" w:hAnsi="宋体" w:eastAsia="宋体" w:cs="宋体"/>
                      <w:szCs w:val="21"/>
                    </w:rPr>
                  </w:pPr>
                  <w:r>
                    <w:rPr>
                      <w:rFonts w:hint="eastAsia" w:ascii="宋体" w:hAnsi="宋体" w:eastAsia="宋体" w:cs="宋体"/>
                      <w:szCs w:val="21"/>
                    </w:rPr>
                    <w:t>4.付款条件</w:t>
                  </w:r>
                </w:p>
              </w:tc>
              <w:tc>
                <w:tcPr>
                  <w:tcW w:w="7475" w:type="dxa"/>
                  <w:vAlign w:val="center"/>
                </w:tcPr>
                <w:p w14:paraId="131054C0">
                  <w:pPr>
                    <w:rPr>
                      <w:rFonts w:ascii="宋体" w:hAnsi="宋体" w:eastAsia="宋体" w:cs="宋体"/>
                      <w:szCs w:val="21"/>
                    </w:rPr>
                  </w:pPr>
                  <w:r>
                    <w:rPr>
                      <w:rFonts w:hint="eastAsia" w:ascii="宋体" w:hAnsi="宋体" w:eastAsia="宋体" w:cs="宋体"/>
                      <w:szCs w:val="21"/>
                    </w:rPr>
                    <w:t>运维合同签订生效后10个日历日内，中标人须向医院开具合法有效的全额发票。医院收到发票之日起，按合同总金额的40%支付合同首付款。剩余60%的合同款项（即终验款）将在运维服务完成并通过最终验收后10个日历日内予以结清。</w:t>
                  </w:r>
                </w:p>
              </w:tc>
            </w:tr>
            <w:tr w14:paraId="280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14:paraId="4793A83A">
                  <w:pPr>
                    <w:rPr>
                      <w:rFonts w:ascii="宋体" w:hAnsi="宋体" w:eastAsia="宋体" w:cs="宋体"/>
                      <w:szCs w:val="21"/>
                    </w:rPr>
                  </w:pPr>
                  <w:r>
                    <w:rPr>
                      <w:rFonts w:hint="eastAsia" w:ascii="宋体" w:hAnsi="宋体" w:eastAsia="宋体" w:cs="宋体"/>
                      <w:szCs w:val="21"/>
                    </w:rPr>
                    <w:t>5.违约责任</w:t>
                  </w:r>
                </w:p>
              </w:tc>
              <w:tc>
                <w:tcPr>
                  <w:tcW w:w="7475" w:type="dxa"/>
                  <w:vAlign w:val="center"/>
                </w:tcPr>
                <w:p w14:paraId="01D9C048">
                  <w:pPr>
                    <w:rPr>
                      <w:rFonts w:ascii="宋体" w:hAnsi="宋体" w:eastAsia="宋体" w:cs="宋体"/>
                      <w:szCs w:val="21"/>
                    </w:rPr>
                  </w:pPr>
                  <w:bookmarkStart w:id="1" w:name="OLE_LINK1"/>
                  <w:r>
                    <w:rPr>
                      <w:rFonts w:hint="eastAsia" w:ascii="宋体" w:hAnsi="宋体" w:eastAsia="宋体" w:cs="宋体"/>
                      <w:szCs w:val="21"/>
                    </w:rPr>
                    <w:t>5.1因报价方未能履行合同中规定的保密条款，造成医院损失的，报价方应向医院赔偿，医院保留向报价方提起诉讼的权利。</w:t>
                  </w:r>
                </w:p>
                <w:p w14:paraId="582907FE">
                  <w:pPr>
                    <w:rPr>
                      <w:rFonts w:ascii="宋体" w:hAnsi="宋体" w:eastAsia="宋体" w:cs="宋体"/>
                      <w:szCs w:val="21"/>
                    </w:rPr>
                  </w:pPr>
                  <w:r>
                    <w:rPr>
                      <w:rFonts w:hint="eastAsia" w:ascii="宋体" w:hAnsi="宋体" w:eastAsia="宋体" w:cs="宋体"/>
                      <w:szCs w:val="21"/>
                    </w:rPr>
                    <w:t>5.3</w:t>
                  </w:r>
                  <w:r>
                    <w:rPr>
                      <w:rFonts w:ascii="宋体" w:hAnsi="宋体" w:eastAsia="宋体" w:cs="宋体"/>
                      <w:szCs w:val="21"/>
                    </w:rPr>
                    <w:t>若报价方未按合同约定或医院明确要求的时间节点完成工作任务，且未就延期事项提前与医院进行沟通并获得同意，因此导致医院受到上级主管部门通报批评或其他形式负面评价的，视为报价方严重违约。</w:t>
                  </w:r>
                  <w:r>
                    <w:rPr>
                      <w:rFonts w:hint="eastAsia" w:ascii="宋体" w:hAnsi="宋体" w:eastAsia="宋体" w:cs="宋体"/>
                      <w:szCs w:val="21"/>
                    </w:rPr>
                    <w:t>因报价方原因，同一故障月度内重复发生3次（含）以上，或未达到采购方的服务响应时间要求，医院有权按次/按比例扣除违约金。</w:t>
                  </w:r>
                  <w:r>
                    <w:rPr>
                      <w:rFonts w:ascii="宋体" w:hAnsi="宋体" w:eastAsia="宋体" w:cs="宋体"/>
                      <w:szCs w:val="21"/>
                    </w:rPr>
                    <w:t>每次发生上述违约情形，</w:t>
                  </w:r>
                  <w:r>
                    <w:rPr>
                      <w:rFonts w:hint="eastAsia" w:ascii="宋体" w:hAnsi="宋体" w:eastAsia="宋体" w:cs="宋体"/>
                      <w:szCs w:val="21"/>
                    </w:rPr>
                    <w:t>采购方</w:t>
                  </w:r>
                  <w:r>
                    <w:rPr>
                      <w:rFonts w:ascii="宋体" w:hAnsi="宋体" w:eastAsia="宋体" w:cs="宋体"/>
                      <w:szCs w:val="21"/>
                    </w:rPr>
                    <w:t>有权从合同款项中扣除合同总金额的0.5%作为违约金。该项违约金累计扣除总额不超过合同总金额的10%。</w:t>
                  </w:r>
                  <w:r>
                    <w:rPr>
                      <w:rFonts w:hint="eastAsia" w:ascii="宋体" w:hAnsi="宋体" w:eastAsia="宋体" w:cs="宋体"/>
                      <w:szCs w:val="21"/>
                    </w:rPr>
                    <w:t xml:space="preserve">                                                  </w:t>
                  </w:r>
                </w:p>
                <w:p w14:paraId="4A0EAE43">
                  <w:pPr>
                    <w:rPr>
                      <w:rFonts w:ascii="宋体" w:hAnsi="宋体" w:eastAsia="宋体" w:cs="宋体"/>
                      <w:szCs w:val="21"/>
                    </w:rPr>
                  </w:pPr>
                  <w:r>
                    <w:rPr>
                      <w:rFonts w:hint="eastAsia" w:ascii="宋体" w:hAnsi="宋体" w:eastAsia="宋体" w:cs="宋体"/>
                      <w:szCs w:val="21"/>
                    </w:rPr>
                    <w:t>5.4报价方不履行合同义务，或履行合同义务不符合约定时，医院有权解除合同，报价方应立即全额退还甲方所付款项，并向医院支付合同总金额的10%的违约金。</w:t>
                  </w:r>
                  <w:bookmarkEnd w:id="1"/>
                </w:p>
              </w:tc>
            </w:tr>
            <w:tr w14:paraId="562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2" w:type="dxa"/>
                  <w:vAlign w:val="center"/>
                </w:tcPr>
                <w:p w14:paraId="37EEA6C5">
                  <w:pPr>
                    <w:pStyle w:val="4"/>
                    <w:tabs>
                      <w:tab w:val="right" w:pos="8312"/>
                    </w:tabs>
                    <w:spacing w:line="400" w:lineRule="exact"/>
                    <w:ind w:left="0" w:leftChars="0"/>
                    <w:rPr>
                      <w:rFonts w:ascii="宋体" w:hAnsi="宋体" w:eastAsia="宋体" w:cs="宋体"/>
                      <w:szCs w:val="21"/>
                    </w:rPr>
                  </w:pPr>
                  <w:r>
                    <w:rPr>
                      <w:rFonts w:hint="eastAsia" w:ascii="宋体" w:hAnsi="宋体" w:eastAsia="宋体" w:cs="宋体"/>
                      <w:szCs w:val="21"/>
                    </w:rPr>
                    <w:t>6.违约情形</w:t>
                  </w:r>
                </w:p>
              </w:tc>
              <w:tc>
                <w:tcPr>
                  <w:tcW w:w="7475" w:type="dxa"/>
                  <w:vAlign w:val="center"/>
                </w:tcPr>
                <w:p w14:paraId="77AF4FF8">
                  <w:pPr>
                    <w:rPr>
                      <w:rFonts w:ascii="宋体" w:hAnsi="宋体" w:eastAsia="宋体" w:cs="宋体"/>
                      <w:szCs w:val="21"/>
                    </w:rPr>
                  </w:pPr>
                  <w:r>
                    <w:rPr>
                      <w:rFonts w:hint="eastAsia" w:ascii="宋体" w:hAnsi="宋体" w:eastAsia="宋体" w:cs="宋体"/>
                      <w:szCs w:val="21"/>
                    </w:rPr>
                    <w:t>报价方在合同执行期间有下列行为之一的，采购人有权直接解除合同：</w:t>
                  </w:r>
                </w:p>
                <w:p w14:paraId="0ACF9062">
                  <w:pPr>
                    <w:rPr>
                      <w:rFonts w:ascii="宋体" w:hAnsi="宋体" w:eastAsia="宋体" w:cs="宋体"/>
                      <w:szCs w:val="21"/>
                    </w:rPr>
                  </w:pPr>
                  <w:r>
                    <w:rPr>
                      <w:rFonts w:hint="eastAsia" w:ascii="宋体" w:hAnsi="宋体" w:eastAsia="宋体" w:cs="宋体"/>
                      <w:szCs w:val="21"/>
                    </w:rPr>
                    <w:t>6.1擅自变更或者中止采购服务合同的；</w:t>
                  </w:r>
                </w:p>
                <w:p w14:paraId="3B22A53A">
                  <w:pPr>
                    <w:rPr>
                      <w:rFonts w:ascii="宋体" w:hAnsi="宋体" w:eastAsia="宋体" w:cs="宋体"/>
                      <w:szCs w:val="21"/>
                    </w:rPr>
                  </w:pPr>
                  <w:r>
                    <w:rPr>
                      <w:rFonts w:hint="eastAsia" w:ascii="宋体" w:hAnsi="宋体" w:eastAsia="宋体" w:cs="宋体"/>
                      <w:szCs w:val="21"/>
                    </w:rPr>
                    <w:t>6.2不按招投标文件以及服务合同要求全面履约的；</w:t>
                  </w:r>
                </w:p>
                <w:p w14:paraId="23E74C6D">
                  <w:pPr>
                    <w:rPr>
                      <w:rFonts w:ascii="宋体" w:hAnsi="宋体" w:eastAsia="宋体" w:cs="宋体"/>
                      <w:szCs w:val="21"/>
                    </w:rPr>
                  </w:pPr>
                  <w:r>
                    <w:rPr>
                      <w:rFonts w:hint="eastAsia" w:ascii="宋体" w:hAnsi="宋体" w:eastAsia="宋体" w:cs="宋体"/>
                      <w:szCs w:val="21"/>
                    </w:rPr>
                    <w:t>6.3非法分包或转包给任何单位和个人；</w:t>
                  </w:r>
                </w:p>
                <w:p w14:paraId="61091BE0">
                  <w:pPr>
                    <w:rPr>
                      <w:rFonts w:ascii="宋体" w:hAnsi="宋体" w:eastAsia="宋体" w:cs="宋体"/>
                      <w:szCs w:val="21"/>
                    </w:rPr>
                  </w:pPr>
                  <w:r>
                    <w:rPr>
                      <w:rFonts w:hint="eastAsia" w:ascii="宋体" w:hAnsi="宋体" w:eastAsia="宋体" w:cs="宋体"/>
                      <w:szCs w:val="21"/>
                    </w:rPr>
                    <w:t>6.4造成严重后果或恶劣影响的；</w:t>
                  </w:r>
                </w:p>
                <w:p w14:paraId="1A3979DF">
                  <w:pPr>
                    <w:rPr>
                      <w:rFonts w:ascii="宋体" w:hAnsi="宋体" w:eastAsia="宋体" w:cs="宋体"/>
                      <w:szCs w:val="21"/>
                    </w:rPr>
                  </w:pPr>
                  <w:r>
                    <w:rPr>
                      <w:rFonts w:hint="eastAsia" w:ascii="宋体" w:hAnsi="宋体" w:eastAsia="宋体" w:cs="宋体"/>
                      <w:szCs w:val="21"/>
                    </w:rPr>
                    <w:t>出现上述情况之一的，采购方有权终止服务合同，其中直接造成医院损失的，中标人应当进行赔偿。</w:t>
                  </w:r>
                </w:p>
              </w:tc>
            </w:tr>
          </w:tbl>
          <w:p w14:paraId="6F06B747">
            <w:pPr>
              <w:rPr>
                <w:rFonts w:ascii="宋体" w:hAnsi="宋体" w:eastAsia="宋体" w:cs="宋体"/>
                <w:szCs w:val="21"/>
              </w:rPr>
            </w:pPr>
          </w:p>
        </w:tc>
      </w:tr>
      <w:tr w14:paraId="6CCF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113" w:type="dxa"/>
            <w:vAlign w:val="center"/>
          </w:tcPr>
          <w:p w14:paraId="169528D7">
            <w:pPr>
              <w:rPr>
                <w:b/>
                <w:color w:val="FF0000"/>
              </w:rPr>
            </w:pPr>
            <w:r>
              <w:rPr>
                <w:rFonts w:hint="eastAsia"/>
                <w:b/>
                <w:color w:val="FF0000"/>
              </w:rPr>
              <w:t>注意事项</w:t>
            </w:r>
          </w:p>
        </w:tc>
        <w:tc>
          <w:tcPr>
            <w:tcW w:w="9427" w:type="dxa"/>
            <w:gridSpan w:val="3"/>
            <w:vAlign w:val="center"/>
          </w:tcPr>
          <w:p w14:paraId="2D2AA26C">
            <w:pPr>
              <w:rPr>
                <w:b/>
                <w:color w:val="FF0000"/>
              </w:rPr>
            </w:pPr>
            <w:r>
              <w:rPr>
                <w:rFonts w:hint="eastAsia" w:asciiTheme="minorEastAsia" w:hAnsiTheme="minor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34478F3C"/>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D646B"/>
    <w:multiLevelType w:val="multilevel"/>
    <w:tmpl w:val="244D646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E73AA"/>
    <w:rsid w:val="000F1131"/>
    <w:rsid w:val="000F2912"/>
    <w:rsid w:val="000F301A"/>
    <w:rsid w:val="000F6DE9"/>
    <w:rsid w:val="001011AB"/>
    <w:rsid w:val="001011EE"/>
    <w:rsid w:val="001076B3"/>
    <w:rsid w:val="00111D09"/>
    <w:rsid w:val="00111F90"/>
    <w:rsid w:val="001251A8"/>
    <w:rsid w:val="0012630E"/>
    <w:rsid w:val="00141515"/>
    <w:rsid w:val="001559A6"/>
    <w:rsid w:val="00156886"/>
    <w:rsid w:val="00162B46"/>
    <w:rsid w:val="001641B0"/>
    <w:rsid w:val="00171162"/>
    <w:rsid w:val="0017382F"/>
    <w:rsid w:val="001818F0"/>
    <w:rsid w:val="0018247A"/>
    <w:rsid w:val="001846B6"/>
    <w:rsid w:val="00185417"/>
    <w:rsid w:val="0018666A"/>
    <w:rsid w:val="00191CF3"/>
    <w:rsid w:val="00191D5E"/>
    <w:rsid w:val="001967B4"/>
    <w:rsid w:val="001A049C"/>
    <w:rsid w:val="001B1FD0"/>
    <w:rsid w:val="001B4887"/>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BD1"/>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22C7E"/>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82EBF"/>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17EF4"/>
    <w:rsid w:val="00422E85"/>
    <w:rsid w:val="0043050C"/>
    <w:rsid w:val="00431DC1"/>
    <w:rsid w:val="00433AB5"/>
    <w:rsid w:val="00435F5A"/>
    <w:rsid w:val="00441374"/>
    <w:rsid w:val="00444170"/>
    <w:rsid w:val="0044584D"/>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3BB"/>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6F67"/>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326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0AA2"/>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BE8"/>
    <w:rsid w:val="00CD0D02"/>
    <w:rsid w:val="00CD21AF"/>
    <w:rsid w:val="00CE0B92"/>
    <w:rsid w:val="00CE1E95"/>
    <w:rsid w:val="00CE274A"/>
    <w:rsid w:val="00CE3AD8"/>
    <w:rsid w:val="00CF174D"/>
    <w:rsid w:val="00D015DA"/>
    <w:rsid w:val="00D03026"/>
    <w:rsid w:val="00D0414D"/>
    <w:rsid w:val="00D052E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113A9"/>
    <w:rsid w:val="00E17991"/>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27C4"/>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A68A8"/>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3D2"/>
    <w:rsid w:val="00FF3EFF"/>
    <w:rsid w:val="00FF3F47"/>
    <w:rsid w:val="00FF46CD"/>
    <w:rsid w:val="00FF53FC"/>
    <w:rsid w:val="00FF55B5"/>
    <w:rsid w:val="00FF6C23"/>
    <w:rsid w:val="015E6884"/>
    <w:rsid w:val="01804A4C"/>
    <w:rsid w:val="01852063"/>
    <w:rsid w:val="01BD35AB"/>
    <w:rsid w:val="02AE55E9"/>
    <w:rsid w:val="02B20C36"/>
    <w:rsid w:val="02B96468"/>
    <w:rsid w:val="02C24BF1"/>
    <w:rsid w:val="02C55056"/>
    <w:rsid w:val="02EA76FC"/>
    <w:rsid w:val="031251C5"/>
    <w:rsid w:val="03405DA5"/>
    <w:rsid w:val="03445EE6"/>
    <w:rsid w:val="035937A7"/>
    <w:rsid w:val="03655CA8"/>
    <w:rsid w:val="036D7252"/>
    <w:rsid w:val="044955CA"/>
    <w:rsid w:val="04926F71"/>
    <w:rsid w:val="04B57B90"/>
    <w:rsid w:val="04C42EA2"/>
    <w:rsid w:val="04ED41A7"/>
    <w:rsid w:val="05085485"/>
    <w:rsid w:val="05281683"/>
    <w:rsid w:val="052F2FC5"/>
    <w:rsid w:val="05961CD6"/>
    <w:rsid w:val="05A028B1"/>
    <w:rsid w:val="05B80C59"/>
    <w:rsid w:val="05FA6964"/>
    <w:rsid w:val="064249C6"/>
    <w:rsid w:val="069F5975"/>
    <w:rsid w:val="06DD649D"/>
    <w:rsid w:val="070B300A"/>
    <w:rsid w:val="072F4F4B"/>
    <w:rsid w:val="075C73C2"/>
    <w:rsid w:val="07DE2D8B"/>
    <w:rsid w:val="07EB6D02"/>
    <w:rsid w:val="08745B19"/>
    <w:rsid w:val="08C449B7"/>
    <w:rsid w:val="09297778"/>
    <w:rsid w:val="097F383C"/>
    <w:rsid w:val="09D41DD9"/>
    <w:rsid w:val="09F60228"/>
    <w:rsid w:val="09FA0BED"/>
    <w:rsid w:val="0A6C0264"/>
    <w:rsid w:val="0A821835"/>
    <w:rsid w:val="0AB911FE"/>
    <w:rsid w:val="0AC91212"/>
    <w:rsid w:val="0B077F8D"/>
    <w:rsid w:val="0BCE7613"/>
    <w:rsid w:val="0BD95485"/>
    <w:rsid w:val="0BF17A23"/>
    <w:rsid w:val="0C2D57D1"/>
    <w:rsid w:val="0C6A2581"/>
    <w:rsid w:val="0C776A4C"/>
    <w:rsid w:val="0CE20369"/>
    <w:rsid w:val="0CE71E24"/>
    <w:rsid w:val="0D166265"/>
    <w:rsid w:val="0D9A6E96"/>
    <w:rsid w:val="0DD24882"/>
    <w:rsid w:val="0E8D07A9"/>
    <w:rsid w:val="0F056591"/>
    <w:rsid w:val="0F0F7410"/>
    <w:rsid w:val="0FAB181A"/>
    <w:rsid w:val="0FD06B9F"/>
    <w:rsid w:val="0FD85A54"/>
    <w:rsid w:val="0FE73EE9"/>
    <w:rsid w:val="10353802"/>
    <w:rsid w:val="108C51BC"/>
    <w:rsid w:val="1111121D"/>
    <w:rsid w:val="119D0D03"/>
    <w:rsid w:val="11C95F9C"/>
    <w:rsid w:val="12046FD4"/>
    <w:rsid w:val="121E0D58"/>
    <w:rsid w:val="12CD345A"/>
    <w:rsid w:val="12D44BF8"/>
    <w:rsid w:val="130B7EEE"/>
    <w:rsid w:val="1340403C"/>
    <w:rsid w:val="1349016D"/>
    <w:rsid w:val="13530102"/>
    <w:rsid w:val="13637D2A"/>
    <w:rsid w:val="139D323C"/>
    <w:rsid w:val="14157276"/>
    <w:rsid w:val="14E804E7"/>
    <w:rsid w:val="154C4F1A"/>
    <w:rsid w:val="16227A29"/>
    <w:rsid w:val="167A3D95"/>
    <w:rsid w:val="16B72867"/>
    <w:rsid w:val="16B965DF"/>
    <w:rsid w:val="16E318AE"/>
    <w:rsid w:val="17A74689"/>
    <w:rsid w:val="17AE3C6A"/>
    <w:rsid w:val="17CE60BA"/>
    <w:rsid w:val="181635BD"/>
    <w:rsid w:val="189B3D4A"/>
    <w:rsid w:val="18A63D25"/>
    <w:rsid w:val="18BE612E"/>
    <w:rsid w:val="18F41B50"/>
    <w:rsid w:val="195C14A3"/>
    <w:rsid w:val="197467ED"/>
    <w:rsid w:val="197A301A"/>
    <w:rsid w:val="1988673C"/>
    <w:rsid w:val="1A8A3DEE"/>
    <w:rsid w:val="1AE23C2A"/>
    <w:rsid w:val="1B293607"/>
    <w:rsid w:val="1BB76E65"/>
    <w:rsid w:val="1C2914E8"/>
    <w:rsid w:val="1C2C33AF"/>
    <w:rsid w:val="1C5D3C4D"/>
    <w:rsid w:val="1C8C6544"/>
    <w:rsid w:val="1CA23671"/>
    <w:rsid w:val="1CE7377A"/>
    <w:rsid w:val="1D216C8C"/>
    <w:rsid w:val="1D4B4E83"/>
    <w:rsid w:val="1D7C3EC2"/>
    <w:rsid w:val="1D8334A3"/>
    <w:rsid w:val="1D8828A2"/>
    <w:rsid w:val="1D9D585A"/>
    <w:rsid w:val="1DCD2970"/>
    <w:rsid w:val="1DE026A3"/>
    <w:rsid w:val="1E647772"/>
    <w:rsid w:val="1E9516DF"/>
    <w:rsid w:val="1EEC5ECB"/>
    <w:rsid w:val="1F86727A"/>
    <w:rsid w:val="1FB16C3F"/>
    <w:rsid w:val="1FF34163"/>
    <w:rsid w:val="200A1C59"/>
    <w:rsid w:val="205E02FC"/>
    <w:rsid w:val="20785734"/>
    <w:rsid w:val="2136082C"/>
    <w:rsid w:val="21AD1B7C"/>
    <w:rsid w:val="220015D2"/>
    <w:rsid w:val="220F79FB"/>
    <w:rsid w:val="22CA3922"/>
    <w:rsid w:val="230C3F3A"/>
    <w:rsid w:val="2329689A"/>
    <w:rsid w:val="23645B24"/>
    <w:rsid w:val="237F295E"/>
    <w:rsid w:val="2393640A"/>
    <w:rsid w:val="23FB116E"/>
    <w:rsid w:val="24082954"/>
    <w:rsid w:val="24863878"/>
    <w:rsid w:val="24885842"/>
    <w:rsid w:val="24C7636B"/>
    <w:rsid w:val="24ED56A6"/>
    <w:rsid w:val="253A0D01"/>
    <w:rsid w:val="25433787"/>
    <w:rsid w:val="25826736"/>
    <w:rsid w:val="25CB59E7"/>
    <w:rsid w:val="25E371D4"/>
    <w:rsid w:val="263E265D"/>
    <w:rsid w:val="26661BB3"/>
    <w:rsid w:val="266B71CA"/>
    <w:rsid w:val="26AF5308"/>
    <w:rsid w:val="26B4291F"/>
    <w:rsid w:val="2705317A"/>
    <w:rsid w:val="27076EF2"/>
    <w:rsid w:val="275B2D9A"/>
    <w:rsid w:val="27A07774"/>
    <w:rsid w:val="280F640A"/>
    <w:rsid w:val="28876563"/>
    <w:rsid w:val="28924EE2"/>
    <w:rsid w:val="29121B7F"/>
    <w:rsid w:val="29B11398"/>
    <w:rsid w:val="2A53244F"/>
    <w:rsid w:val="2ABB0720"/>
    <w:rsid w:val="2B0F281A"/>
    <w:rsid w:val="2B964CE9"/>
    <w:rsid w:val="2B9D5253"/>
    <w:rsid w:val="2C332538"/>
    <w:rsid w:val="2C3342E6"/>
    <w:rsid w:val="2C622E1D"/>
    <w:rsid w:val="2C736DD8"/>
    <w:rsid w:val="2CD535EF"/>
    <w:rsid w:val="2CF41CC7"/>
    <w:rsid w:val="2D3447B9"/>
    <w:rsid w:val="2DE956D9"/>
    <w:rsid w:val="2DEA4E78"/>
    <w:rsid w:val="2E1E7447"/>
    <w:rsid w:val="2E43648D"/>
    <w:rsid w:val="2E985F54"/>
    <w:rsid w:val="2EA8720D"/>
    <w:rsid w:val="2EAB2859"/>
    <w:rsid w:val="2EBC6814"/>
    <w:rsid w:val="2ECF6B10"/>
    <w:rsid w:val="2ED95618"/>
    <w:rsid w:val="2EE76884"/>
    <w:rsid w:val="2F6F7D2B"/>
    <w:rsid w:val="30066945"/>
    <w:rsid w:val="300D4E4E"/>
    <w:rsid w:val="304C24A0"/>
    <w:rsid w:val="30817D16"/>
    <w:rsid w:val="30937C76"/>
    <w:rsid w:val="30C45E54"/>
    <w:rsid w:val="310821E5"/>
    <w:rsid w:val="317C228B"/>
    <w:rsid w:val="31CD2942"/>
    <w:rsid w:val="31F14A27"/>
    <w:rsid w:val="31F938DC"/>
    <w:rsid w:val="322C0750"/>
    <w:rsid w:val="322C5A5F"/>
    <w:rsid w:val="32382656"/>
    <w:rsid w:val="325A2A82"/>
    <w:rsid w:val="325D20BC"/>
    <w:rsid w:val="328F5FEE"/>
    <w:rsid w:val="32AC4DF2"/>
    <w:rsid w:val="32B75C71"/>
    <w:rsid w:val="3344327C"/>
    <w:rsid w:val="334916BD"/>
    <w:rsid w:val="336F02F9"/>
    <w:rsid w:val="33E462EB"/>
    <w:rsid w:val="33E83C08"/>
    <w:rsid w:val="342F7A89"/>
    <w:rsid w:val="343F10D3"/>
    <w:rsid w:val="344C063B"/>
    <w:rsid w:val="34897199"/>
    <w:rsid w:val="34C06C9A"/>
    <w:rsid w:val="34CA155F"/>
    <w:rsid w:val="35215623"/>
    <w:rsid w:val="35246EC1"/>
    <w:rsid w:val="35BA7826"/>
    <w:rsid w:val="35D812F2"/>
    <w:rsid w:val="35DA1C76"/>
    <w:rsid w:val="35F26FC0"/>
    <w:rsid w:val="36201D7F"/>
    <w:rsid w:val="363870C8"/>
    <w:rsid w:val="365E28A7"/>
    <w:rsid w:val="366A46AF"/>
    <w:rsid w:val="36716136"/>
    <w:rsid w:val="36B978C7"/>
    <w:rsid w:val="36D96A36"/>
    <w:rsid w:val="36DF7544"/>
    <w:rsid w:val="36E42DAC"/>
    <w:rsid w:val="36E71A90"/>
    <w:rsid w:val="37265173"/>
    <w:rsid w:val="37B22EAA"/>
    <w:rsid w:val="37EE502E"/>
    <w:rsid w:val="382D42DF"/>
    <w:rsid w:val="384635F3"/>
    <w:rsid w:val="386C12AB"/>
    <w:rsid w:val="38785BF3"/>
    <w:rsid w:val="38B467AE"/>
    <w:rsid w:val="38E042F0"/>
    <w:rsid w:val="38E47094"/>
    <w:rsid w:val="38FC7931"/>
    <w:rsid w:val="3914549F"/>
    <w:rsid w:val="394C787E"/>
    <w:rsid w:val="39673B94"/>
    <w:rsid w:val="39855919"/>
    <w:rsid w:val="39A802F2"/>
    <w:rsid w:val="39ED6B3B"/>
    <w:rsid w:val="3A0045B7"/>
    <w:rsid w:val="3A053765"/>
    <w:rsid w:val="3A32128C"/>
    <w:rsid w:val="3A42356C"/>
    <w:rsid w:val="3A810912"/>
    <w:rsid w:val="3AD16020"/>
    <w:rsid w:val="3B3913E9"/>
    <w:rsid w:val="3B581673"/>
    <w:rsid w:val="3BAE4E39"/>
    <w:rsid w:val="3C0267B9"/>
    <w:rsid w:val="3C0B4937"/>
    <w:rsid w:val="3C6D73A0"/>
    <w:rsid w:val="3C7A6B45"/>
    <w:rsid w:val="3C9568F7"/>
    <w:rsid w:val="3D121CF5"/>
    <w:rsid w:val="3D2739F3"/>
    <w:rsid w:val="3D5567B2"/>
    <w:rsid w:val="3D7B789B"/>
    <w:rsid w:val="3D9D3CB5"/>
    <w:rsid w:val="3DEE4511"/>
    <w:rsid w:val="3E3D58B5"/>
    <w:rsid w:val="3E691DE9"/>
    <w:rsid w:val="3ECF3F0C"/>
    <w:rsid w:val="3EFC4A0B"/>
    <w:rsid w:val="3F1B7587"/>
    <w:rsid w:val="3F760C61"/>
    <w:rsid w:val="3FA550A3"/>
    <w:rsid w:val="401B7113"/>
    <w:rsid w:val="40390FDB"/>
    <w:rsid w:val="40B52773"/>
    <w:rsid w:val="40D52048"/>
    <w:rsid w:val="40DA0D7C"/>
    <w:rsid w:val="40F167F2"/>
    <w:rsid w:val="40F36398"/>
    <w:rsid w:val="410B2C87"/>
    <w:rsid w:val="410B7187"/>
    <w:rsid w:val="41173D7E"/>
    <w:rsid w:val="413761CE"/>
    <w:rsid w:val="41562AF9"/>
    <w:rsid w:val="41C11ED0"/>
    <w:rsid w:val="423170C2"/>
    <w:rsid w:val="424961B9"/>
    <w:rsid w:val="425D3A13"/>
    <w:rsid w:val="42913E89"/>
    <w:rsid w:val="4355293C"/>
    <w:rsid w:val="436A3AF2"/>
    <w:rsid w:val="4383394D"/>
    <w:rsid w:val="43CC0E50"/>
    <w:rsid w:val="43CC70A2"/>
    <w:rsid w:val="442E38B9"/>
    <w:rsid w:val="448E07FB"/>
    <w:rsid w:val="4492209A"/>
    <w:rsid w:val="44A92F3F"/>
    <w:rsid w:val="44AB6CB7"/>
    <w:rsid w:val="457E0BD1"/>
    <w:rsid w:val="45815C6A"/>
    <w:rsid w:val="45A2455E"/>
    <w:rsid w:val="45D863DE"/>
    <w:rsid w:val="465D0485"/>
    <w:rsid w:val="467852BF"/>
    <w:rsid w:val="46B1432D"/>
    <w:rsid w:val="47797541"/>
    <w:rsid w:val="47A143A2"/>
    <w:rsid w:val="47AA76FA"/>
    <w:rsid w:val="47AA7774"/>
    <w:rsid w:val="47C6205A"/>
    <w:rsid w:val="47CF7161"/>
    <w:rsid w:val="47F4705A"/>
    <w:rsid w:val="484D0086"/>
    <w:rsid w:val="486D24D6"/>
    <w:rsid w:val="488E0DCA"/>
    <w:rsid w:val="489F6B33"/>
    <w:rsid w:val="48C4659A"/>
    <w:rsid w:val="4A211429"/>
    <w:rsid w:val="4AF64A04"/>
    <w:rsid w:val="4B3774F7"/>
    <w:rsid w:val="4B515A7A"/>
    <w:rsid w:val="4BDE7972"/>
    <w:rsid w:val="4C06511B"/>
    <w:rsid w:val="4C697BB1"/>
    <w:rsid w:val="4CBD1C7E"/>
    <w:rsid w:val="4CFF2296"/>
    <w:rsid w:val="4D07114B"/>
    <w:rsid w:val="4D6C7200"/>
    <w:rsid w:val="4DD52FF7"/>
    <w:rsid w:val="4DFA2A5E"/>
    <w:rsid w:val="4E235B10"/>
    <w:rsid w:val="4E573A0C"/>
    <w:rsid w:val="4EAF3848"/>
    <w:rsid w:val="4EE41BC3"/>
    <w:rsid w:val="4EEE63C5"/>
    <w:rsid w:val="4F1B22DD"/>
    <w:rsid w:val="4F4E12B3"/>
    <w:rsid w:val="4F840831"/>
    <w:rsid w:val="4FBC446F"/>
    <w:rsid w:val="4FC652ED"/>
    <w:rsid w:val="4FF736F9"/>
    <w:rsid w:val="50306FB5"/>
    <w:rsid w:val="50A941CF"/>
    <w:rsid w:val="50D531EC"/>
    <w:rsid w:val="511300BE"/>
    <w:rsid w:val="512027DB"/>
    <w:rsid w:val="515F7B5F"/>
    <w:rsid w:val="516C5F9F"/>
    <w:rsid w:val="516F72BF"/>
    <w:rsid w:val="518E73DD"/>
    <w:rsid w:val="51AF1D6C"/>
    <w:rsid w:val="52383B54"/>
    <w:rsid w:val="52B14033"/>
    <w:rsid w:val="52BE405A"/>
    <w:rsid w:val="52C11D9C"/>
    <w:rsid w:val="52E8557B"/>
    <w:rsid w:val="52EC6E19"/>
    <w:rsid w:val="538434F5"/>
    <w:rsid w:val="53BD07B5"/>
    <w:rsid w:val="53F215D4"/>
    <w:rsid w:val="54420CBA"/>
    <w:rsid w:val="54493DF7"/>
    <w:rsid w:val="545509EE"/>
    <w:rsid w:val="545C1D7C"/>
    <w:rsid w:val="54613836"/>
    <w:rsid w:val="5479624C"/>
    <w:rsid w:val="54D1276A"/>
    <w:rsid w:val="54D12F67"/>
    <w:rsid w:val="54DB1ED7"/>
    <w:rsid w:val="55001FF3"/>
    <w:rsid w:val="550348EE"/>
    <w:rsid w:val="555B0286"/>
    <w:rsid w:val="55735CBD"/>
    <w:rsid w:val="557B26D6"/>
    <w:rsid w:val="558107EB"/>
    <w:rsid w:val="5591253F"/>
    <w:rsid w:val="55AE6607"/>
    <w:rsid w:val="56044479"/>
    <w:rsid w:val="561843C9"/>
    <w:rsid w:val="56552F27"/>
    <w:rsid w:val="56633896"/>
    <w:rsid w:val="56AF6ADB"/>
    <w:rsid w:val="56E83D9B"/>
    <w:rsid w:val="56ED36EC"/>
    <w:rsid w:val="571921A6"/>
    <w:rsid w:val="572052E3"/>
    <w:rsid w:val="573D7CA0"/>
    <w:rsid w:val="57DD1426"/>
    <w:rsid w:val="588673C8"/>
    <w:rsid w:val="58892BEE"/>
    <w:rsid w:val="58EE31BF"/>
    <w:rsid w:val="59036C6A"/>
    <w:rsid w:val="590649AC"/>
    <w:rsid w:val="593C217C"/>
    <w:rsid w:val="594B23BF"/>
    <w:rsid w:val="5A0E3B19"/>
    <w:rsid w:val="5A1C523D"/>
    <w:rsid w:val="5A5033A7"/>
    <w:rsid w:val="5A96449D"/>
    <w:rsid w:val="5AD92379"/>
    <w:rsid w:val="5AEA5C0E"/>
    <w:rsid w:val="5B2B06FA"/>
    <w:rsid w:val="5B353327"/>
    <w:rsid w:val="5B3C6463"/>
    <w:rsid w:val="5BB16E51"/>
    <w:rsid w:val="5BCF552A"/>
    <w:rsid w:val="5C5356DD"/>
    <w:rsid w:val="5C677510"/>
    <w:rsid w:val="5C78171D"/>
    <w:rsid w:val="5C915E6B"/>
    <w:rsid w:val="5C9F314E"/>
    <w:rsid w:val="5C9F4EFC"/>
    <w:rsid w:val="5C9F6CAA"/>
    <w:rsid w:val="5CB35A78"/>
    <w:rsid w:val="5CC2508E"/>
    <w:rsid w:val="5D276C9F"/>
    <w:rsid w:val="5D467A6D"/>
    <w:rsid w:val="5D494E68"/>
    <w:rsid w:val="5D6A1FCB"/>
    <w:rsid w:val="5D92680F"/>
    <w:rsid w:val="5DA622BA"/>
    <w:rsid w:val="5DDC7A8A"/>
    <w:rsid w:val="5E204216"/>
    <w:rsid w:val="5E9D546B"/>
    <w:rsid w:val="5EA467FA"/>
    <w:rsid w:val="5EB6477F"/>
    <w:rsid w:val="5ED50F19"/>
    <w:rsid w:val="5EF37781"/>
    <w:rsid w:val="5F0C439F"/>
    <w:rsid w:val="5F3C4C84"/>
    <w:rsid w:val="5F5244A8"/>
    <w:rsid w:val="5F97010C"/>
    <w:rsid w:val="5FB567E4"/>
    <w:rsid w:val="5FE13A7D"/>
    <w:rsid w:val="5FF67529"/>
    <w:rsid w:val="602844E5"/>
    <w:rsid w:val="606D70BF"/>
    <w:rsid w:val="611759A9"/>
    <w:rsid w:val="61B236C7"/>
    <w:rsid w:val="61CB28D4"/>
    <w:rsid w:val="61E433B1"/>
    <w:rsid w:val="61E6537B"/>
    <w:rsid w:val="621C0D9D"/>
    <w:rsid w:val="622D4D58"/>
    <w:rsid w:val="627E55B4"/>
    <w:rsid w:val="62B114E5"/>
    <w:rsid w:val="62EE098B"/>
    <w:rsid w:val="63006D65"/>
    <w:rsid w:val="63493E13"/>
    <w:rsid w:val="635D166D"/>
    <w:rsid w:val="63A4729C"/>
    <w:rsid w:val="63CB65D6"/>
    <w:rsid w:val="63D351D4"/>
    <w:rsid w:val="640C0196"/>
    <w:rsid w:val="641E704E"/>
    <w:rsid w:val="64267CB1"/>
    <w:rsid w:val="64281C7B"/>
    <w:rsid w:val="642D7291"/>
    <w:rsid w:val="643D5426"/>
    <w:rsid w:val="64656A2B"/>
    <w:rsid w:val="649E3CEB"/>
    <w:rsid w:val="65167D25"/>
    <w:rsid w:val="65336B29"/>
    <w:rsid w:val="659301F6"/>
    <w:rsid w:val="65B25CA0"/>
    <w:rsid w:val="65C6799D"/>
    <w:rsid w:val="66171FA7"/>
    <w:rsid w:val="666176C6"/>
    <w:rsid w:val="666F3B91"/>
    <w:rsid w:val="669C425A"/>
    <w:rsid w:val="66A6332B"/>
    <w:rsid w:val="66AD6467"/>
    <w:rsid w:val="66FD7D7D"/>
    <w:rsid w:val="67470D70"/>
    <w:rsid w:val="67694A84"/>
    <w:rsid w:val="68106CAE"/>
    <w:rsid w:val="68420E31"/>
    <w:rsid w:val="6844104D"/>
    <w:rsid w:val="68617509"/>
    <w:rsid w:val="68CE1DC5"/>
    <w:rsid w:val="69DC4818"/>
    <w:rsid w:val="6A2C5734"/>
    <w:rsid w:val="6A3F7D1E"/>
    <w:rsid w:val="6A775937"/>
    <w:rsid w:val="6AB51D8E"/>
    <w:rsid w:val="6ABA73A5"/>
    <w:rsid w:val="6ABF49BB"/>
    <w:rsid w:val="6ACA3A8C"/>
    <w:rsid w:val="6AFF300A"/>
    <w:rsid w:val="6B2D5DC9"/>
    <w:rsid w:val="6B3451DC"/>
    <w:rsid w:val="6C101972"/>
    <w:rsid w:val="6CEC1C46"/>
    <w:rsid w:val="6CFC634B"/>
    <w:rsid w:val="6D2C27DC"/>
    <w:rsid w:val="6E535B46"/>
    <w:rsid w:val="6E763603"/>
    <w:rsid w:val="6EF63490"/>
    <w:rsid w:val="6F1057E5"/>
    <w:rsid w:val="6F1928EC"/>
    <w:rsid w:val="6F51652A"/>
    <w:rsid w:val="6FEF5D43"/>
    <w:rsid w:val="70871AD7"/>
    <w:rsid w:val="70A369B7"/>
    <w:rsid w:val="70CA3CD6"/>
    <w:rsid w:val="713E2ADE"/>
    <w:rsid w:val="71A14E1B"/>
    <w:rsid w:val="71C823A7"/>
    <w:rsid w:val="71CA25C3"/>
    <w:rsid w:val="71D16318"/>
    <w:rsid w:val="72AE3C93"/>
    <w:rsid w:val="72BF37AA"/>
    <w:rsid w:val="72DA05E4"/>
    <w:rsid w:val="72ED2222"/>
    <w:rsid w:val="731215F5"/>
    <w:rsid w:val="73223D39"/>
    <w:rsid w:val="737C5B3F"/>
    <w:rsid w:val="73A82490"/>
    <w:rsid w:val="73D9089C"/>
    <w:rsid w:val="74116287"/>
    <w:rsid w:val="744049FF"/>
    <w:rsid w:val="744A51FA"/>
    <w:rsid w:val="74E67512"/>
    <w:rsid w:val="751A5610"/>
    <w:rsid w:val="755A1EB0"/>
    <w:rsid w:val="756E5A5A"/>
    <w:rsid w:val="76022B63"/>
    <w:rsid w:val="76BC122C"/>
    <w:rsid w:val="76F123A0"/>
    <w:rsid w:val="772C33D8"/>
    <w:rsid w:val="773C4E5C"/>
    <w:rsid w:val="77690189"/>
    <w:rsid w:val="778925D9"/>
    <w:rsid w:val="77D575CC"/>
    <w:rsid w:val="783207F7"/>
    <w:rsid w:val="786A065C"/>
    <w:rsid w:val="787D213D"/>
    <w:rsid w:val="789D458E"/>
    <w:rsid w:val="78C530C2"/>
    <w:rsid w:val="793D367B"/>
    <w:rsid w:val="796B194A"/>
    <w:rsid w:val="79703A50"/>
    <w:rsid w:val="797D616D"/>
    <w:rsid w:val="79802CF3"/>
    <w:rsid w:val="799C32AA"/>
    <w:rsid w:val="79A050F6"/>
    <w:rsid w:val="7A010B4C"/>
    <w:rsid w:val="7A2C0161"/>
    <w:rsid w:val="7A460C55"/>
    <w:rsid w:val="7A5944E4"/>
    <w:rsid w:val="7A8F7F06"/>
    <w:rsid w:val="7ACD0A2E"/>
    <w:rsid w:val="7ADF59FA"/>
    <w:rsid w:val="7AF661D7"/>
    <w:rsid w:val="7B0326A2"/>
    <w:rsid w:val="7B05200B"/>
    <w:rsid w:val="7B0E1773"/>
    <w:rsid w:val="7B74407A"/>
    <w:rsid w:val="7BA479E1"/>
    <w:rsid w:val="7BBC483D"/>
    <w:rsid w:val="7BC938EC"/>
    <w:rsid w:val="7BCB7664"/>
    <w:rsid w:val="7BD007D6"/>
    <w:rsid w:val="7BF72207"/>
    <w:rsid w:val="7BFC15CB"/>
    <w:rsid w:val="7C0C5586"/>
    <w:rsid w:val="7C4F3DF1"/>
    <w:rsid w:val="7C6D24C9"/>
    <w:rsid w:val="7C7D5FD1"/>
    <w:rsid w:val="7CDC31AB"/>
    <w:rsid w:val="7CDE6F23"/>
    <w:rsid w:val="7DD165CD"/>
    <w:rsid w:val="7DFA0A64"/>
    <w:rsid w:val="7E190053"/>
    <w:rsid w:val="7E5E47BF"/>
    <w:rsid w:val="7E68119A"/>
    <w:rsid w:val="7F8475FA"/>
    <w:rsid w:val="7F8E4C30"/>
    <w:rsid w:val="7FC35185"/>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link w:val="25"/>
    <w:autoRedefine/>
    <w:semiHidden/>
    <w:unhideWhenUsed/>
    <w:qFormat/>
    <w:uiPriority w:val="99"/>
    <w:pPr>
      <w:jc w:val="left"/>
    </w:pPr>
  </w:style>
  <w:style w:type="paragraph" w:styleId="6">
    <w:name w:val="Body Text"/>
    <w:basedOn w:val="1"/>
    <w:next w:val="1"/>
    <w:unhideWhenUsed/>
    <w:qFormat/>
    <w:uiPriority w:val="99"/>
    <w:pPr>
      <w:spacing w:after="120"/>
    </w:pPr>
  </w:style>
  <w:style w:type="paragraph" w:styleId="7">
    <w:name w:val="Balloon Text"/>
    <w:basedOn w:val="1"/>
    <w:link w:val="24"/>
    <w:autoRedefine/>
    <w:semiHidden/>
    <w:unhideWhenUsed/>
    <w:qFormat/>
    <w:uiPriority w:val="99"/>
    <w:rPr>
      <w:rFonts w:ascii="Times New Roman" w:hAnsi="Times New Roman" w:eastAsia="仿宋_GB2312" w:cs="Times New Roman"/>
      <w:spacing w:val="10"/>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6"/>
    <w:autoRedefine/>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FollowedHyperlink"/>
    <w:basedOn w:val="14"/>
    <w:autoRedefine/>
    <w:semiHidden/>
    <w:unhideWhenUsed/>
    <w:qFormat/>
    <w:uiPriority w:val="99"/>
    <w:rPr>
      <w:color w:val="800080"/>
      <w:sz w:val="20"/>
      <w:szCs w:val="20"/>
      <w:u w:val="single"/>
    </w:rPr>
  </w:style>
  <w:style w:type="character" w:styleId="17">
    <w:name w:val="Hyperlink"/>
    <w:basedOn w:val="14"/>
    <w:autoRedefine/>
    <w:semiHidden/>
    <w:unhideWhenUsed/>
    <w:qFormat/>
    <w:uiPriority w:val="99"/>
    <w:rPr>
      <w:color w:val="0000FF"/>
      <w:sz w:val="20"/>
      <w:szCs w:val="20"/>
      <w:u w:val="single"/>
    </w:rPr>
  </w:style>
  <w:style w:type="character" w:styleId="18">
    <w:name w:val="annotation reference"/>
    <w:basedOn w:val="14"/>
    <w:autoRedefine/>
    <w:semiHidden/>
    <w:unhideWhenUsed/>
    <w:qFormat/>
    <w:uiPriority w:val="99"/>
    <w:rPr>
      <w:sz w:val="21"/>
      <w:szCs w:val="21"/>
    </w:rPr>
  </w:style>
  <w:style w:type="paragraph" w:customStyle="1" w:styleId="19">
    <w:name w:val="tableheader"/>
    <w:basedOn w:val="1"/>
    <w:autoRedefine/>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20">
    <w:name w:val="页眉 字符"/>
    <w:basedOn w:val="14"/>
    <w:link w:val="9"/>
    <w:autoRedefine/>
    <w:qFormat/>
    <w:uiPriority w:val="0"/>
    <w:rPr>
      <w:rFonts w:ascii="Times New Roman" w:hAnsi="Times New Roman" w:eastAsia="宋体" w:cs="Times New Roman"/>
      <w:sz w:val="18"/>
      <w:szCs w:val="18"/>
    </w:rPr>
  </w:style>
  <w:style w:type="character" w:customStyle="1" w:styleId="21">
    <w:name w:val="页脚 字符"/>
    <w:basedOn w:val="14"/>
    <w:link w:val="8"/>
    <w:autoRedefine/>
    <w:qFormat/>
    <w:uiPriority w:val="99"/>
    <w:rPr>
      <w:sz w:val="18"/>
      <w:szCs w:val="18"/>
    </w:rPr>
  </w:style>
  <w:style w:type="paragraph" w:customStyle="1" w:styleId="22">
    <w:name w:val="首行缩进"/>
    <w:basedOn w:val="1"/>
    <w:autoRedefine/>
    <w:qFormat/>
    <w:uiPriority w:val="0"/>
    <w:pPr>
      <w:ind w:firstLine="480" w:firstLineChars="200"/>
    </w:pPr>
    <w:rPr>
      <w:rFonts w:ascii="Calibri" w:hAnsi="Calibri" w:eastAsia="仿宋" w:cs="Times New Roman"/>
      <w:sz w:val="28"/>
      <w:lang w:val="zh-CN"/>
    </w:rPr>
  </w:style>
  <w:style w:type="paragraph" w:styleId="23">
    <w:name w:val="List Paragraph"/>
    <w:basedOn w:val="1"/>
    <w:autoRedefine/>
    <w:qFormat/>
    <w:uiPriority w:val="34"/>
    <w:pPr>
      <w:ind w:firstLine="420" w:firstLineChars="200"/>
    </w:pPr>
  </w:style>
  <w:style w:type="character" w:customStyle="1" w:styleId="24">
    <w:name w:val="批注框文本 字符"/>
    <w:basedOn w:val="14"/>
    <w:link w:val="7"/>
    <w:autoRedefine/>
    <w:semiHidden/>
    <w:qFormat/>
    <w:uiPriority w:val="99"/>
    <w:rPr>
      <w:rFonts w:ascii="Times New Roman" w:hAnsi="Times New Roman" w:eastAsia="仿宋_GB2312" w:cs="Times New Roman"/>
      <w:spacing w:val="10"/>
      <w:sz w:val="18"/>
      <w:szCs w:val="18"/>
    </w:rPr>
  </w:style>
  <w:style w:type="character" w:customStyle="1" w:styleId="25">
    <w:name w:val="批注文字 字符"/>
    <w:basedOn w:val="14"/>
    <w:link w:val="5"/>
    <w:autoRedefine/>
    <w:semiHidden/>
    <w:qFormat/>
    <w:uiPriority w:val="99"/>
  </w:style>
  <w:style w:type="character" w:customStyle="1" w:styleId="26">
    <w:name w:val="批注主题 字符"/>
    <w:basedOn w:val="25"/>
    <w:link w:val="11"/>
    <w:autoRedefine/>
    <w:semiHidden/>
    <w:qFormat/>
    <w:uiPriority w:val="99"/>
    <w:rPr>
      <w:b/>
      <w:bCs/>
    </w:rPr>
  </w:style>
  <w:style w:type="character" w:customStyle="1" w:styleId="27">
    <w:name w:val="标题 1 字符"/>
    <w:basedOn w:val="14"/>
    <w:link w:val="2"/>
    <w:autoRedefine/>
    <w:qFormat/>
    <w:uiPriority w:val="9"/>
    <w:rPr>
      <w:b/>
      <w:bCs/>
      <w:kern w:val="44"/>
      <w:sz w:val="44"/>
      <w:szCs w:val="44"/>
    </w:rPr>
  </w:style>
  <w:style w:type="paragraph" w:customStyle="1" w:styleId="28">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9">
    <w:name w:val="font51"/>
    <w:basedOn w:val="14"/>
    <w:qFormat/>
    <w:uiPriority w:val="0"/>
    <w:rPr>
      <w:rFonts w:ascii="仿宋_GB2312" w:eastAsia="仿宋_GB2312" w:cs="仿宋_GB2312"/>
      <w:color w:val="000000"/>
      <w:sz w:val="28"/>
      <w:szCs w:val="28"/>
      <w:u w:val="none"/>
    </w:rPr>
  </w:style>
  <w:style w:type="character" w:customStyle="1" w:styleId="30">
    <w:name w:val="font21"/>
    <w:basedOn w:val="14"/>
    <w:qFormat/>
    <w:uiPriority w:val="0"/>
    <w:rPr>
      <w:rFonts w:hint="eastAsia" w:ascii="宋体" w:hAnsi="宋体" w:eastAsia="宋体" w:cs="宋体"/>
      <w:color w:val="000000"/>
      <w:sz w:val="28"/>
      <w:szCs w:val="28"/>
      <w:u w:val="none"/>
    </w:rPr>
  </w:style>
  <w:style w:type="character" w:customStyle="1" w:styleId="31">
    <w:name w:val="font31"/>
    <w:basedOn w:val="14"/>
    <w:qFormat/>
    <w:uiPriority w:val="0"/>
    <w:rPr>
      <w:rFonts w:hint="default" w:ascii="Times New Roman" w:hAnsi="Times New Roman" w:cs="Times New Roman"/>
      <w:color w:val="000000"/>
      <w:sz w:val="28"/>
      <w:szCs w:val="28"/>
      <w:u w:val="none"/>
    </w:rPr>
  </w:style>
  <w:style w:type="character" w:customStyle="1" w:styleId="32">
    <w:name w:val="font41"/>
    <w:basedOn w:val="14"/>
    <w:qFormat/>
    <w:uiPriority w:val="0"/>
    <w:rPr>
      <w:rFonts w:hint="eastAsia" w:ascii="仿宋_GB2312" w:eastAsia="仿宋_GB2312" w:cs="仿宋_GB2312"/>
      <w:color w:val="000000"/>
      <w:sz w:val="28"/>
      <w:szCs w:val="28"/>
      <w:u w:val="none"/>
    </w:rPr>
  </w:style>
  <w:style w:type="character" w:customStyle="1" w:styleId="33">
    <w:name w:val="font11"/>
    <w:basedOn w:val="14"/>
    <w:qFormat/>
    <w:uiPriority w:val="0"/>
    <w:rPr>
      <w:rFonts w:hint="eastAsia" w:ascii="仿宋_GB2312" w:eastAsia="仿宋_GB2312" w:cs="仿宋_GB2312"/>
      <w:color w:val="000000"/>
      <w:sz w:val="22"/>
      <w:szCs w:val="22"/>
      <w:u w:val="none"/>
    </w:rPr>
  </w:style>
  <w:style w:type="character" w:customStyle="1" w:styleId="34">
    <w:name w:val="标题 2 字符"/>
    <w:basedOn w:val="14"/>
    <w:link w:val="3"/>
    <w:semiHidden/>
    <w:qFormat/>
    <w:uiPriority w:val="9"/>
    <w:rPr>
      <w:rFonts w:asciiTheme="majorHAnsi" w:hAnsiTheme="majorHAnsi" w:eastAsiaTheme="majorEastAsia" w:cstheme="majorBidi"/>
      <w:b/>
      <w:bCs/>
      <w:kern w:val="2"/>
      <w:sz w:val="32"/>
      <w:szCs w:val="32"/>
    </w:rPr>
  </w:style>
  <w:style w:type="paragraph" w:styleId="35">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3</Pages>
  <Words>3702</Words>
  <Characters>3861</Characters>
  <Lines>28</Lines>
  <Paragraphs>8</Paragraphs>
  <TotalTime>5</TotalTime>
  <ScaleCrop>false</ScaleCrop>
  <LinksUpToDate>false</LinksUpToDate>
  <CharactersWithSpaces>3928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2026-01-16T03:30:00Z</dcterms:created>
  <dc:creator>张婷婷</dc:creator>
  <cp:lastModifiedBy>SMN</cp:lastModifiedBy>
  <cp:lastPrinted>2024-05-27T08:56:00Z</cp:lastPrinted>
  <dcterms:modified xsi:type="dcterms:W3CDTF">2026-01-21T04:15:49Z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571ABA7074CB47A6A210F9D70E88BBC4_13</vt:lpwstr>
  </property>
  <property fmtid="{D5CDD505-2E9C-101B-9397-08002B2CF9AE}" pid="4" name="KSOTemplateDocerSaveRecord">
    <vt:lpwstr>eyJoZGlkIjoiYjM1OWRhNGE4NzczZWQzMTM4MDcyMWQ4NjdlMGViYTIiLCJ1c2VySWQiOiIzNDQ0ODA3MjQifQ==</vt:lpwstr>
  </property>
</Properties>
</file>