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96AEF">
      <w:pPr>
        <w:spacing w:line="440" w:lineRule="exact"/>
        <w:jc w:val="center"/>
        <w:rPr>
          <w:rFonts w:ascii="仿宋_GB2312" w:eastAsia="仿宋_GB2312"/>
          <w:b/>
          <w:sz w:val="32"/>
          <w:szCs w:val="32"/>
        </w:rPr>
      </w:pPr>
      <w:r>
        <w:rPr>
          <w:rFonts w:hint="eastAsia" w:ascii="仿宋_GB2312" w:eastAsia="仿宋_GB2312"/>
          <w:b/>
          <w:sz w:val="32"/>
          <w:szCs w:val="32"/>
        </w:rPr>
        <w:t>南方医科大学深圳口腔医院（坪山）</w:t>
      </w:r>
    </w:p>
    <w:p w14:paraId="3C409232">
      <w:pPr>
        <w:spacing w:line="440" w:lineRule="exact"/>
        <w:jc w:val="center"/>
        <w:rPr>
          <w:rFonts w:ascii="仿宋_GB2312" w:eastAsia="仿宋_GB2312"/>
          <w:b/>
          <w:sz w:val="32"/>
          <w:szCs w:val="32"/>
        </w:rPr>
      </w:pPr>
      <w:r>
        <w:rPr>
          <w:rFonts w:hint="eastAsia" w:ascii="仿宋_GB2312" w:eastAsia="仿宋_GB2312"/>
          <w:b/>
          <w:sz w:val="32"/>
          <w:szCs w:val="32"/>
        </w:rPr>
        <w:t>院内集成平台运维项目</w:t>
      </w:r>
      <w:r>
        <w:rPr>
          <w:rFonts w:hint="eastAsia" w:ascii="仿宋_GB2312" w:eastAsia="仿宋_GB2312"/>
          <w:b/>
          <w:sz w:val="32"/>
          <w:szCs w:val="32"/>
          <w:lang w:val="en-US" w:eastAsia="zh-CN"/>
        </w:rPr>
        <w:t>市场调研</w:t>
      </w:r>
      <w:r>
        <w:rPr>
          <w:rFonts w:hint="eastAsia" w:ascii="仿宋_GB2312" w:eastAsia="仿宋_GB2312"/>
          <w:b/>
          <w:sz w:val="32"/>
          <w:szCs w:val="32"/>
        </w:rPr>
        <w:t>需求</w:t>
      </w:r>
    </w:p>
    <w:p w14:paraId="67A19BA2">
      <w:pPr>
        <w:spacing w:line="440" w:lineRule="exact"/>
        <w:jc w:val="center"/>
      </w:pPr>
      <w:r>
        <w:rPr>
          <w:rFonts w:hint="eastAsia" w:ascii="仿宋_GB2312" w:eastAsia="仿宋_GB2312"/>
          <w:b/>
          <w:sz w:val="28"/>
          <w:szCs w:val="32"/>
        </w:rPr>
        <w:t>（项目编码：</w:t>
      </w:r>
      <w:r>
        <w:rPr>
          <w:rFonts w:ascii="仿宋_GB2312" w:eastAsia="仿宋_GB2312"/>
          <w:b/>
          <w:sz w:val="28"/>
          <w:szCs w:val="32"/>
        </w:rPr>
        <w:t>NFYKDSZKQ-XXH-</w:t>
      </w:r>
      <w:r>
        <w:rPr>
          <w:rFonts w:hint="eastAsia" w:ascii="仿宋_GB2312" w:eastAsia="仿宋_GB2312"/>
          <w:b/>
          <w:sz w:val="28"/>
          <w:szCs w:val="32"/>
          <w:lang w:val="en-US" w:eastAsia="zh-CN"/>
        </w:rPr>
        <w:t>FW-</w:t>
      </w:r>
      <w:bookmarkStart w:id="2" w:name="_GoBack"/>
      <w:bookmarkEnd w:id="2"/>
      <w:r>
        <w:rPr>
          <w:rFonts w:hint="eastAsia" w:ascii="仿宋_GB2312" w:eastAsia="仿宋_GB2312"/>
          <w:b/>
          <w:sz w:val="28"/>
          <w:szCs w:val="32"/>
          <w:lang w:val="en-US" w:eastAsia="zh-CN"/>
        </w:rPr>
        <w:t>JCPTYW</w:t>
      </w:r>
      <w:r>
        <w:rPr>
          <w:rFonts w:ascii="仿宋_GB2312" w:eastAsia="仿宋_GB2312"/>
          <w:b/>
          <w:sz w:val="28"/>
          <w:szCs w:val="32"/>
        </w:rPr>
        <w:t>-202</w:t>
      </w:r>
      <w:r>
        <w:rPr>
          <w:rFonts w:hint="eastAsia" w:ascii="仿宋_GB2312" w:eastAsia="仿宋_GB2312"/>
          <w:b/>
          <w:sz w:val="28"/>
          <w:szCs w:val="32"/>
          <w:lang w:val="en-US" w:eastAsia="zh-CN"/>
        </w:rPr>
        <w:t>60121</w:t>
      </w:r>
      <w:r>
        <w:rPr>
          <w:rFonts w:hint="eastAsia" w:ascii="仿宋_GB2312" w:eastAsia="仿宋_GB2312"/>
          <w:b/>
          <w:sz w:val="28"/>
          <w:szCs w:val="32"/>
        </w:rPr>
        <w:t>00</w:t>
      </w:r>
      <w:r>
        <w:rPr>
          <w:rFonts w:hint="eastAsia" w:ascii="仿宋_GB2312" w:eastAsia="仿宋_GB2312"/>
          <w:b/>
          <w:sz w:val="28"/>
          <w:szCs w:val="32"/>
          <w:lang w:val="en-US" w:eastAsia="zh-CN"/>
        </w:rPr>
        <w:t>4</w:t>
      </w:r>
      <w:r>
        <w:rPr>
          <w:rFonts w:hint="eastAsia" w:ascii="仿宋_GB2312" w:eastAsia="仿宋_GB2312"/>
          <w:b/>
          <w:sz w:val="28"/>
          <w:szCs w:val="32"/>
        </w:rPr>
        <w:t>）</w:t>
      </w:r>
    </w:p>
    <w:tbl>
      <w:tblPr>
        <w:tblStyle w:val="12"/>
        <w:tblW w:w="1054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113"/>
        <w:gridCol w:w="5107"/>
        <w:gridCol w:w="1985"/>
        <w:gridCol w:w="2335"/>
      </w:tblGrid>
      <w:tr w14:paraId="3803D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4A982CA2">
            <w:pPr>
              <w:rPr>
                <w:rFonts w:ascii="宋体" w:hAnsi="宋体" w:eastAsia="宋体" w:cs="宋体"/>
                <w:szCs w:val="21"/>
              </w:rPr>
            </w:pPr>
            <w:r>
              <w:rPr>
                <w:rFonts w:hint="eastAsia" w:ascii="宋体" w:hAnsi="宋体" w:eastAsia="宋体" w:cs="宋体"/>
                <w:szCs w:val="21"/>
              </w:rPr>
              <w:t>项目名称</w:t>
            </w:r>
          </w:p>
        </w:tc>
        <w:tc>
          <w:tcPr>
            <w:tcW w:w="5107" w:type="dxa"/>
            <w:vAlign w:val="center"/>
          </w:tcPr>
          <w:p w14:paraId="5CE096C2">
            <w:pPr>
              <w:rPr>
                <w:rFonts w:ascii="宋体" w:hAnsi="宋体" w:eastAsia="宋体" w:cs="宋体"/>
                <w:szCs w:val="21"/>
              </w:rPr>
            </w:pPr>
            <w:r>
              <w:rPr>
                <w:rFonts w:hint="eastAsia" w:ascii="宋体" w:hAnsi="宋体" w:eastAsia="宋体" w:cs="宋体"/>
                <w:szCs w:val="21"/>
              </w:rPr>
              <w:t>院内集成平台运维项目</w:t>
            </w:r>
          </w:p>
        </w:tc>
        <w:tc>
          <w:tcPr>
            <w:tcW w:w="1985" w:type="dxa"/>
            <w:vAlign w:val="center"/>
          </w:tcPr>
          <w:p w14:paraId="075F3990">
            <w:pPr>
              <w:rPr>
                <w:rFonts w:ascii="宋体" w:hAnsi="宋体" w:eastAsia="宋体" w:cs="宋体"/>
                <w:szCs w:val="21"/>
              </w:rPr>
            </w:pPr>
            <w:r>
              <w:rPr>
                <w:rFonts w:hint="eastAsia" w:ascii="宋体" w:hAnsi="宋体" w:eastAsia="宋体" w:cs="宋体"/>
                <w:szCs w:val="21"/>
              </w:rPr>
              <w:t>是否预选项目</w:t>
            </w:r>
          </w:p>
        </w:tc>
        <w:tc>
          <w:tcPr>
            <w:tcW w:w="2335" w:type="dxa"/>
            <w:vAlign w:val="center"/>
          </w:tcPr>
          <w:p w14:paraId="6C78AA49">
            <w:pPr>
              <w:rPr>
                <w:rFonts w:ascii="宋体" w:hAnsi="宋体" w:eastAsia="宋体" w:cs="宋体"/>
                <w:szCs w:val="21"/>
              </w:rPr>
            </w:pPr>
            <w:r>
              <w:rPr>
                <w:rFonts w:hint="eastAsia" w:ascii="宋体" w:hAnsi="宋体" w:eastAsia="宋体" w:cs="宋体"/>
                <w:szCs w:val="21"/>
              </w:rPr>
              <w:t>否</w:t>
            </w:r>
          </w:p>
        </w:tc>
      </w:tr>
      <w:tr w14:paraId="368C8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744D0627">
            <w:pPr>
              <w:rPr>
                <w:rFonts w:ascii="宋体" w:hAnsi="宋体" w:eastAsia="宋体" w:cs="宋体"/>
                <w:szCs w:val="21"/>
              </w:rPr>
            </w:pPr>
            <w:r>
              <w:rPr>
                <w:rFonts w:hint="eastAsia" w:ascii="宋体" w:hAnsi="宋体" w:eastAsia="宋体" w:cs="宋体"/>
                <w:szCs w:val="21"/>
              </w:rPr>
              <w:t>采购人名称</w:t>
            </w:r>
          </w:p>
        </w:tc>
        <w:tc>
          <w:tcPr>
            <w:tcW w:w="5107" w:type="dxa"/>
            <w:vAlign w:val="center"/>
          </w:tcPr>
          <w:p w14:paraId="14A22D88">
            <w:pPr>
              <w:rPr>
                <w:rFonts w:ascii="宋体" w:hAnsi="宋体" w:eastAsia="宋体" w:cs="宋体"/>
                <w:szCs w:val="21"/>
              </w:rPr>
            </w:pPr>
            <w:r>
              <w:rPr>
                <w:rFonts w:hint="eastAsia" w:ascii="宋体" w:hAnsi="宋体" w:eastAsia="宋体" w:cs="宋体"/>
                <w:szCs w:val="21"/>
              </w:rPr>
              <w:t>南方医科大学深圳口腔医院（坪山）</w:t>
            </w:r>
          </w:p>
        </w:tc>
        <w:tc>
          <w:tcPr>
            <w:tcW w:w="1985" w:type="dxa"/>
            <w:vAlign w:val="center"/>
          </w:tcPr>
          <w:p w14:paraId="22C1BD6A">
            <w:pPr>
              <w:rPr>
                <w:rFonts w:ascii="宋体" w:hAnsi="宋体" w:eastAsia="宋体" w:cs="宋体"/>
                <w:szCs w:val="21"/>
              </w:rPr>
            </w:pPr>
            <w:r>
              <w:rPr>
                <w:rFonts w:hint="eastAsia" w:ascii="宋体" w:hAnsi="宋体" w:eastAsia="宋体" w:cs="宋体"/>
                <w:szCs w:val="21"/>
              </w:rPr>
              <w:t>采购方式</w:t>
            </w:r>
          </w:p>
        </w:tc>
        <w:tc>
          <w:tcPr>
            <w:tcW w:w="2335" w:type="dxa"/>
            <w:vAlign w:val="center"/>
          </w:tcPr>
          <w:p w14:paraId="3730702B">
            <w:pPr>
              <w:rPr>
                <w:rFonts w:ascii="宋体" w:hAnsi="宋体" w:eastAsia="宋体" w:cs="宋体"/>
                <w:szCs w:val="21"/>
              </w:rPr>
            </w:pPr>
            <w:r>
              <w:rPr>
                <w:rFonts w:hint="eastAsia" w:ascii="宋体" w:hAnsi="宋体" w:eastAsia="宋体" w:cs="宋体"/>
                <w:szCs w:val="21"/>
              </w:rPr>
              <w:t>公开询价采购</w:t>
            </w:r>
          </w:p>
        </w:tc>
      </w:tr>
      <w:tr w14:paraId="45F8C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6C819CAA">
            <w:pPr>
              <w:rPr>
                <w:rFonts w:ascii="宋体" w:hAnsi="宋体" w:eastAsia="宋体" w:cs="宋体"/>
                <w:szCs w:val="21"/>
              </w:rPr>
            </w:pPr>
            <w:r>
              <w:rPr>
                <w:rFonts w:hint="eastAsia" w:ascii="宋体" w:hAnsi="宋体" w:eastAsia="宋体" w:cs="宋体"/>
                <w:szCs w:val="21"/>
              </w:rPr>
              <w:t>预算限额（元）</w:t>
            </w:r>
          </w:p>
        </w:tc>
        <w:tc>
          <w:tcPr>
            <w:tcW w:w="9427" w:type="dxa"/>
            <w:gridSpan w:val="3"/>
            <w:vAlign w:val="center"/>
          </w:tcPr>
          <w:p w14:paraId="60241488">
            <w:pPr>
              <w:rPr>
                <w:rFonts w:ascii="宋体" w:hAnsi="宋体" w:eastAsia="宋体" w:cs="宋体"/>
                <w:szCs w:val="21"/>
              </w:rPr>
            </w:pPr>
            <w:r>
              <w:rPr>
                <w:rFonts w:hint="eastAsia" w:ascii="宋体" w:hAnsi="宋体" w:eastAsia="宋体" w:cs="宋体"/>
                <w:szCs w:val="21"/>
              </w:rPr>
              <w:t>市场调研后确定</w:t>
            </w:r>
          </w:p>
        </w:tc>
      </w:tr>
      <w:tr w14:paraId="5BAFF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42" w:hRule="atLeast"/>
          <w:tblCellSpacing w:w="0" w:type="dxa"/>
          <w:jc w:val="center"/>
        </w:trPr>
        <w:tc>
          <w:tcPr>
            <w:tcW w:w="1113" w:type="dxa"/>
            <w:vAlign w:val="center"/>
          </w:tcPr>
          <w:p w14:paraId="67333B09">
            <w:pPr>
              <w:rPr>
                <w:rFonts w:ascii="宋体" w:hAnsi="宋体" w:eastAsia="宋体" w:cs="宋体"/>
                <w:szCs w:val="21"/>
              </w:rPr>
            </w:pPr>
            <w:r>
              <w:rPr>
                <w:rFonts w:hint="eastAsia" w:ascii="宋体" w:hAnsi="宋体" w:eastAsia="宋体" w:cs="宋体"/>
                <w:color w:val="C00000"/>
                <w:szCs w:val="21"/>
              </w:rPr>
              <w:t>项目背景</w:t>
            </w:r>
          </w:p>
        </w:tc>
        <w:tc>
          <w:tcPr>
            <w:tcW w:w="9427" w:type="dxa"/>
            <w:gridSpan w:val="3"/>
            <w:vAlign w:val="center"/>
          </w:tcPr>
          <w:p w14:paraId="0FDFBA27">
            <w:pPr>
              <w:ind w:firstLine="420" w:firstLineChars="200"/>
              <w:rPr>
                <w:rFonts w:ascii="宋体" w:hAnsi="宋体" w:eastAsia="宋体" w:cs="宋体"/>
                <w:szCs w:val="21"/>
              </w:rPr>
            </w:pPr>
            <w:r>
              <w:rPr>
                <w:rFonts w:hint="eastAsia" w:ascii="宋体" w:hAnsi="宋体" w:eastAsia="宋体" w:cs="宋体"/>
                <w:szCs w:val="21"/>
              </w:rPr>
              <w:t>院内集成平台是医院的核心业务系统，采用B/S架构，已持续稳定运行5年。为保障其长期高效运转，现开展院内集成平台运维服务采购工作。</w:t>
            </w:r>
          </w:p>
          <w:p w14:paraId="6B22EF2A">
            <w:pPr>
              <w:ind w:firstLine="420" w:firstLineChars="200"/>
              <w:rPr>
                <w:rFonts w:ascii="宋体" w:hAnsi="宋体" w:eastAsia="宋体" w:cs="宋体"/>
                <w:szCs w:val="21"/>
              </w:rPr>
            </w:pPr>
            <w:r>
              <w:rPr>
                <w:rFonts w:hint="eastAsia" w:ascii="宋体" w:hAnsi="宋体" w:eastAsia="宋体" w:cs="宋体"/>
                <w:szCs w:val="21"/>
              </w:rPr>
              <w:t>平台主要包含以下关键模块：ESB、统一登录门户、主索引、主数据、数据接入引擎、临床数据中心、全景视图、院领导综合查询与决策管理系统、医院综合运营分析管理系统，以及数据接口上报服务。</w:t>
            </w:r>
          </w:p>
        </w:tc>
      </w:tr>
      <w:tr w14:paraId="0EF65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113" w:type="dxa"/>
            <w:vAlign w:val="center"/>
          </w:tcPr>
          <w:p w14:paraId="177A8AB8">
            <w:pPr>
              <w:rPr>
                <w:rFonts w:ascii="宋体" w:hAnsi="宋体" w:eastAsia="宋体" w:cs="宋体"/>
                <w:szCs w:val="21"/>
              </w:rPr>
            </w:pPr>
            <w:r>
              <w:rPr>
                <w:rFonts w:hint="eastAsia" w:ascii="宋体" w:hAnsi="宋体" w:eastAsia="宋体" w:cs="宋体"/>
                <w:szCs w:val="21"/>
              </w:rPr>
              <w:t>报价人资质要求</w:t>
            </w:r>
          </w:p>
        </w:tc>
        <w:tc>
          <w:tcPr>
            <w:tcW w:w="9427" w:type="dxa"/>
            <w:gridSpan w:val="3"/>
            <w:vAlign w:val="center"/>
          </w:tcPr>
          <w:p w14:paraId="3D8A116E">
            <w:pPr>
              <w:rPr>
                <w:rFonts w:ascii="宋体" w:hAnsi="宋体" w:eastAsia="宋体" w:cs="宋体"/>
                <w:szCs w:val="21"/>
              </w:rPr>
            </w:pPr>
            <w:r>
              <w:rPr>
                <w:rFonts w:hint="eastAsia" w:ascii="宋体" w:hAnsi="宋体" w:eastAsia="宋体" w:cs="宋体"/>
                <w:szCs w:val="21"/>
              </w:rPr>
              <w:t>1）报价人必须具有独立法人资格（提供营业执照原件扫描件并加盖报价人公章）。</w:t>
            </w:r>
          </w:p>
          <w:p w14:paraId="5F717F36">
            <w:pPr>
              <w:rPr>
                <w:rFonts w:ascii="宋体" w:hAnsi="宋体" w:eastAsia="宋体" w:cs="宋体"/>
                <w:szCs w:val="21"/>
              </w:rPr>
            </w:pPr>
            <w:r>
              <w:rPr>
                <w:rFonts w:hint="eastAsia" w:ascii="宋体" w:hAnsi="宋体" w:eastAsia="宋体" w:cs="宋体"/>
                <w:szCs w:val="21"/>
              </w:rPr>
              <w:t>2）本项目不接受联合体报价，不允许分包、转包，不接受报价人选用进口产品参与报价(由报价人在《政府采购报价及履约承诺函》中做出声明）。</w:t>
            </w:r>
          </w:p>
          <w:p w14:paraId="176D5E7F">
            <w:pPr>
              <w:rPr>
                <w:rFonts w:ascii="宋体" w:hAnsi="宋体" w:eastAsia="宋体" w:cs="宋体"/>
                <w:szCs w:val="21"/>
              </w:rPr>
            </w:pPr>
            <w:r>
              <w:rPr>
                <w:rFonts w:hint="eastAsia" w:ascii="宋体" w:hAnsi="宋体" w:eastAsia="宋体" w:cs="宋体"/>
                <w:szCs w:val="21"/>
              </w:rPr>
              <w:t>3）报价人近三年内无行贿犯罪记录（由报价人在《政府采购报价及履约承诺函》中做出声明）。</w:t>
            </w:r>
          </w:p>
          <w:p w14:paraId="68E334A7">
            <w:pPr>
              <w:rPr>
                <w:rFonts w:ascii="宋体" w:hAnsi="宋体" w:eastAsia="宋体" w:cs="宋体"/>
                <w:szCs w:val="21"/>
              </w:rPr>
            </w:pPr>
            <w:r>
              <w:rPr>
                <w:rFonts w:hint="eastAsia" w:ascii="宋体" w:hAnsi="宋体" w:eastAsia="宋体" w:cs="宋体"/>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612B6F07">
            <w:pPr>
              <w:rPr>
                <w:rFonts w:ascii="宋体" w:hAnsi="宋体" w:eastAsia="宋体" w:cs="宋体"/>
                <w:szCs w:val="21"/>
              </w:rPr>
            </w:pPr>
            <w:r>
              <w:rPr>
                <w:rFonts w:hint="eastAsia" w:ascii="宋体" w:hAnsi="宋体" w:eastAsia="宋体" w:cs="宋体"/>
                <w:szCs w:val="21"/>
              </w:rPr>
              <w:t>5）参与本项目的报价人不存在被有关部门禁止参与政府采购活动且在有效期内的情况（由报价人在《政府采购报价及履约承诺函》中做出声明）。</w:t>
            </w:r>
          </w:p>
        </w:tc>
      </w:tr>
      <w:tr w14:paraId="3695F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50" w:hRule="atLeast"/>
          <w:tblCellSpacing w:w="0" w:type="dxa"/>
          <w:jc w:val="center"/>
        </w:trPr>
        <w:tc>
          <w:tcPr>
            <w:tcW w:w="1113" w:type="dxa"/>
            <w:tcBorders>
              <w:bottom w:val="single" w:color="auto" w:sz="4" w:space="0"/>
            </w:tcBorders>
            <w:vAlign w:val="center"/>
          </w:tcPr>
          <w:p w14:paraId="07D8EDC9">
            <w:pPr>
              <w:rPr>
                <w:rFonts w:ascii="宋体" w:hAnsi="宋体" w:eastAsia="宋体" w:cs="宋体"/>
                <w:szCs w:val="21"/>
              </w:rPr>
            </w:pPr>
            <w:bookmarkStart w:id="0" w:name="_Hlk132703410"/>
            <w:r>
              <w:rPr>
                <w:rFonts w:hint="eastAsia" w:ascii="宋体" w:hAnsi="宋体" w:eastAsia="宋体" w:cs="宋体"/>
                <w:color w:val="C00000"/>
                <w:szCs w:val="21"/>
              </w:rPr>
              <w:t>服务清单及要求</w:t>
            </w:r>
          </w:p>
        </w:tc>
        <w:tc>
          <w:tcPr>
            <w:tcW w:w="9427" w:type="dxa"/>
            <w:gridSpan w:val="3"/>
            <w:tcBorders>
              <w:bottom w:val="single" w:color="auto" w:sz="4" w:space="0"/>
            </w:tcBorders>
            <w:vAlign w:val="center"/>
          </w:tcPr>
          <w:p w14:paraId="2FEDFD28">
            <w:pPr>
              <w:rPr>
                <w:rFonts w:hint="eastAsia" w:ascii="宋体" w:hAnsi="宋体" w:eastAsia="宋体" w:cs="宋体"/>
                <w:szCs w:val="21"/>
              </w:rPr>
            </w:pPr>
            <w:r>
              <w:rPr>
                <w:rFonts w:hint="eastAsia" w:ascii="宋体" w:hAnsi="宋体" w:eastAsia="宋体" w:cs="宋体"/>
                <w:szCs w:val="21"/>
                <w:lang w:val="en-US" w:eastAsia="zh-CN"/>
              </w:rPr>
              <w:t>一、</w:t>
            </w:r>
            <w:r>
              <w:rPr>
                <w:rFonts w:hint="eastAsia" w:ascii="宋体" w:hAnsi="宋体" w:eastAsia="宋体" w:cs="宋体"/>
                <w:szCs w:val="21"/>
              </w:rPr>
              <w:t>提供院内集成平台运维服务内容包括：</w:t>
            </w:r>
          </w:p>
          <w:tbl>
            <w:tblPr>
              <w:tblStyle w:val="13"/>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32"/>
              <w:gridCol w:w="2291"/>
              <w:gridCol w:w="5896"/>
            </w:tblGrid>
            <w:tr w14:paraId="062F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blHeader/>
                <w:jc w:val="center"/>
              </w:trPr>
              <w:tc>
                <w:tcPr>
                  <w:tcW w:w="732" w:type="dxa"/>
                  <w:tcBorders>
                    <w:top w:val="single" w:color="auto" w:sz="12" w:space="0"/>
                    <w:left w:val="single" w:color="auto" w:sz="12" w:space="0"/>
                    <w:bottom w:val="single" w:color="auto" w:sz="4" w:space="0"/>
                    <w:right w:val="single" w:color="auto" w:sz="4" w:space="0"/>
                  </w:tcBorders>
                  <w:vAlign w:val="center"/>
                </w:tcPr>
                <w:p w14:paraId="071DE269">
                  <w:pPr>
                    <w:jc w:val="left"/>
                    <w:rPr>
                      <w:rFonts w:hint="eastAsia" w:ascii="宋体" w:hAnsi="宋体" w:eastAsia="宋体" w:cs="宋体"/>
                      <w:sz w:val="21"/>
                      <w:szCs w:val="21"/>
                    </w:rPr>
                  </w:pPr>
                  <w:r>
                    <w:rPr>
                      <w:rFonts w:hint="eastAsia" w:ascii="宋体" w:hAnsi="宋体" w:eastAsia="宋体" w:cs="宋体"/>
                      <w:sz w:val="21"/>
                      <w:szCs w:val="21"/>
                    </w:rPr>
                    <w:t>序号</w:t>
                  </w:r>
                </w:p>
              </w:tc>
              <w:tc>
                <w:tcPr>
                  <w:tcW w:w="2291" w:type="dxa"/>
                  <w:tcBorders>
                    <w:top w:val="single" w:color="auto" w:sz="12" w:space="0"/>
                    <w:left w:val="single" w:color="auto" w:sz="4" w:space="0"/>
                    <w:bottom w:val="single" w:color="auto" w:sz="4" w:space="0"/>
                    <w:right w:val="single" w:color="auto" w:sz="4" w:space="0"/>
                  </w:tcBorders>
                  <w:vAlign w:val="center"/>
                </w:tcPr>
                <w:p w14:paraId="17992731">
                  <w:pPr>
                    <w:jc w:val="center"/>
                    <w:rPr>
                      <w:rFonts w:hint="eastAsia" w:ascii="宋体" w:hAnsi="宋体" w:eastAsia="宋体" w:cs="宋体"/>
                      <w:sz w:val="21"/>
                      <w:szCs w:val="21"/>
                    </w:rPr>
                  </w:pPr>
                  <w:r>
                    <w:rPr>
                      <w:rFonts w:hint="eastAsia" w:ascii="宋体" w:hAnsi="宋体" w:eastAsia="宋体" w:cs="宋体"/>
                      <w:sz w:val="21"/>
                      <w:szCs w:val="21"/>
                    </w:rPr>
                    <w:t>功能名称</w:t>
                  </w:r>
                </w:p>
              </w:tc>
              <w:tc>
                <w:tcPr>
                  <w:tcW w:w="5896" w:type="dxa"/>
                  <w:tcBorders>
                    <w:top w:val="single" w:color="auto" w:sz="12" w:space="0"/>
                    <w:left w:val="single" w:color="auto" w:sz="4" w:space="0"/>
                    <w:bottom w:val="single" w:color="auto" w:sz="4" w:space="0"/>
                    <w:right w:val="single" w:color="auto" w:sz="4" w:space="0"/>
                  </w:tcBorders>
                  <w:vAlign w:val="center"/>
                </w:tcPr>
                <w:p w14:paraId="55CFFCFB">
                  <w:pPr>
                    <w:jc w:val="center"/>
                    <w:rPr>
                      <w:rFonts w:hint="eastAsia" w:ascii="宋体" w:hAnsi="宋体" w:eastAsia="宋体" w:cs="宋体"/>
                      <w:sz w:val="21"/>
                      <w:szCs w:val="21"/>
                    </w:rPr>
                  </w:pPr>
                  <w:r>
                    <w:rPr>
                      <w:rFonts w:hint="eastAsia" w:ascii="宋体" w:hAnsi="宋体" w:eastAsia="宋体" w:cs="宋体"/>
                      <w:sz w:val="21"/>
                      <w:szCs w:val="21"/>
                    </w:rPr>
                    <w:t>服务内容要求</w:t>
                  </w:r>
                </w:p>
              </w:tc>
            </w:tr>
            <w:tr w14:paraId="63B9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4C69502F">
                  <w:pPr>
                    <w:jc w:val="left"/>
                    <w:rPr>
                      <w:rFonts w:hint="eastAsia" w:ascii="宋体" w:hAnsi="宋体" w:eastAsia="宋体" w:cs="宋体"/>
                      <w:sz w:val="21"/>
                      <w:szCs w:val="21"/>
                    </w:rPr>
                  </w:pPr>
                  <w:r>
                    <w:rPr>
                      <w:rFonts w:hint="eastAsia" w:ascii="宋体" w:hAnsi="宋体" w:eastAsia="宋体" w:cs="宋体"/>
                      <w:sz w:val="21"/>
                      <w:szCs w:val="21"/>
                    </w:rPr>
                    <w:t>1</w:t>
                  </w:r>
                </w:p>
              </w:tc>
              <w:tc>
                <w:tcPr>
                  <w:tcW w:w="2291" w:type="dxa"/>
                  <w:tcBorders>
                    <w:left w:val="single" w:color="auto" w:sz="4" w:space="0"/>
                    <w:right w:val="single" w:color="auto" w:sz="4" w:space="0"/>
                  </w:tcBorders>
                  <w:shd w:val="clear" w:color="000000" w:fill="FFFFFF"/>
                  <w:vAlign w:val="center"/>
                </w:tcPr>
                <w:p w14:paraId="71EEC22E">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★ESB</w:t>
                  </w:r>
                </w:p>
              </w:tc>
              <w:tc>
                <w:tcPr>
                  <w:tcW w:w="5896" w:type="dxa"/>
                  <w:tcBorders>
                    <w:top w:val="single" w:color="auto" w:sz="4" w:space="0"/>
                    <w:left w:val="single" w:color="auto" w:sz="4" w:space="0"/>
                    <w:bottom w:val="single" w:color="auto" w:sz="4" w:space="0"/>
                    <w:right w:val="single" w:color="auto" w:sz="4" w:space="0"/>
                  </w:tcBorders>
                  <w:shd w:val="clear" w:color="000000" w:fill="FFFFFF"/>
                  <w:vAlign w:val="center"/>
                </w:tcPr>
                <w:p w14:paraId="763FDC7E">
                  <w:pPr>
                    <w:widowControl/>
                    <w:numPr>
                      <w:ilvl w:val="0"/>
                      <w:numId w:val="0"/>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1.保障该系统全年稳定运行，降低故障率服务。</w:t>
                  </w:r>
                </w:p>
                <w:p w14:paraId="4C6703BB">
                  <w:pPr>
                    <w:widowControl/>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2.保障院内集成平台数据消息接口的高效、稳定传输服务。</w:t>
                  </w:r>
                </w:p>
                <w:p w14:paraId="04777AE6">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3.配合全院业务系统排查、定位接口问题。</w:t>
                  </w:r>
                </w:p>
                <w:p w14:paraId="35B721CA">
                  <w:pPr>
                    <w:widowControl/>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bidi="ar"/>
                    </w:rPr>
                    <w:t>4.</w:t>
                  </w:r>
                  <w:r>
                    <w:rPr>
                      <w:rFonts w:hint="eastAsia" w:ascii="宋体" w:hAnsi="宋体" w:eastAsia="宋体" w:cs="宋体"/>
                      <w:color w:val="000000"/>
                      <w:sz w:val="21"/>
                      <w:szCs w:val="21"/>
                      <w:lang w:val="en-US" w:eastAsia="zh-CN"/>
                    </w:rPr>
                    <w:t>日常平台接口监控与巡检服务。</w:t>
                  </w:r>
                </w:p>
                <w:p w14:paraId="37F9F81B">
                  <w:pPr>
                    <w:widowControl/>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w:t>
                  </w:r>
                  <w:r>
                    <w:rPr>
                      <w:rFonts w:hint="eastAsia" w:ascii="宋体" w:hAnsi="宋体" w:eastAsia="宋体" w:cs="宋体"/>
                      <w:color w:val="000000"/>
                      <w:sz w:val="21"/>
                      <w:szCs w:val="21"/>
                    </w:rPr>
                    <w:t>用户培训与支持</w:t>
                  </w:r>
                  <w:r>
                    <w:rPr>
                      <w:rFonts w:hint="eastAsia" w:ascii="宋体" w:hAnsi="宋体" w:eastAsia="宋体" w:cs="宋体"/>
                      <w:color w:val="000000"/>
                      <w:sz w:val="21"/>
                      <w:szCs w:val="21"/>
                      <w:lang w:val="en-US" w:eastAsia="zh-CN"/>
                    </w:rPr>
                    <w:t>服务。</w:t>
                  </w:r>
                </w:p>
              </w:tc>
            </w:tr>
            <w:tr w14:paraId="6E1E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69D132DD">
                  <w:pPr>
                    <w:jc w:val="left"/>
                    <w:rPr>
                      <w:rFonts w:hint="eastAsia" w:ascii="宋体" w:hAnsi="宋体" w:eastAsia="宋体" w:cs="宋体"/>
                      <w:sz w:val="21"/>
                      <w:szCs w:val="21"/>
                    </w:rPr>
                  </w:pPr>
                  <w:r>
                    <w:rPr>
                      <w:rFonts w:hint="eastAsia" w:ascii="宋体" w:hAnsi="宋体" w:eastAsia="宋体" w:cs="宋体"/>
                      <w:sz w:val="21"/>
                      <w:szCs w:val="21"/>
                    </w:rPr>
                    <w:t>2</w:t>
                  </w:r>
                </w:p>
              </w:tc>
              <w:tc>
                <w:tcPr>
                  <w:tcW w:w="2291" w:type="dxa"/>
                  <w:tcBorders>
                    <w:left w:val="single" w:color="auto" w:sz="4" w:space="0"/>
                    <w:right w:val="single" w:color="auto" w:sz="4" w:space="0"/>
                  </w:tcBorders>
                  <w:shd w:val="clear" w:color="000000" w:fill="FFFFFF"/>
                  <w:vAlign w:val="center"/>
                </w:tcPr>
                <w:p w14:paraId="71E47AC1">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统一登录门户</w:t>
                  </w:r>
                </w:p>
              </w:tc>
              <w:tc>
                <w:tcPr>
                  <w:tcW w:w="5896" w:type="dxa"/>
                  <w:tcBorders>
                    <w:top w:val="single" w:color="auto" w:sz="4" w:space="0"/>
                    <w:left w:val="single" w:color="auto" w:sz="4" w:space="0"/>
                    <w:bottom w:val="single" w:color="auto" w:sz="4" w:space="0"/>
                    <w:right w:val="single" w:color="auto" w:sz="4" w:space="0"/>
                  </w:tcBorders>
                  <w:shd w:val="clear" w:color="000000" w:fill="FFFFFF"/>
                  <w:vAlign w:val="center"/>
                </w:tcPr>
                <w:p w14:paraId="4DD8BD8F">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1.保障该系统全年稳定运行，降低故障率服务。</w:t>
                  </w:r>
                </w:p>
                <w:p w14:paraId="30AB9D69">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2.日常监控与巡检服务。</w:t>
                  </w:r>
                </w:p>
                <w:p w14:paraId="527D2481">
                  <w:pPr>
                    <w:widowControl/>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rPr>
                    <w:t>3.定期检查密码策略执行情况。</w:t>
                  </w:r>
                </w:p>
              </w:tc>
            </w:tr>
            <w:tr w14:paraId="3814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23B6D784">
                  <w:pPr>
                    <w:jc w:val="left"/>
                    <w:rPr>
                      <w:rFonts w:hint="eastAsia" w:ascii="宋体" w:hAnsi="宋体" w:eastAsia="宋体" w:cs="宋体"/>
                      <w:sz w:val="21"/>
                      <w:szCs w:val="21"/>
                    </w:rPr>
                  </w:pPr>
                  <w:r>
                    <w:rPr>
                      <w:rFonts w:hint="eastAsia" w:ascii="宋体" w:hAnsi="宋体" w:eastAsia="宋体" w:cs="宋体"/>
                      <w:sz w:val="21"/>
                      <w:szCs w:val="21"/>
                    </w:rPr>
                    <w:t>3</w:t>
                  </w:r>
                </w:p>
              </w:tc>
              <w:tc>
                <w:tcPr>
                  <w:tcW w:w="2291" w:type="dxa"/>
                  <w:tcBorders>
                    <w:left w:val="single" w:color="auto" w:sz="4" w:space="0"/>
                    <w:right w:val="single" w:color="auto" w:sz="4" w:space="0"/>
                  </w:tcBorders>
                  <w:shd w:val="clear" w:color="000000" w:fill="FFFFFF"/>
                  <w:vAlign w:val="center"/>
                </w:tcPr>
                <w:p w14:paraId="578EA0F1">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主索引</w:t>
                  </w:r>
                </w:p>
              </w:tc>
              <w:tc>
                <w:tcPr>
                  <w:tcW w:w="5896" w:type="dxa"/>
                  <w:tcBorders>
                    <w:top w:val="single" w:color="auto" w:sz="4" w:space="0"/>
                    <w:left w:val="single" w:color="auto" w:sz="4" w:space="0"/>
                    <w:bottom w:val="single" w:color="auto" w:sz="4" w:space="0"/>
                    <w:right w:val="single" w:color="auto" w:sz="4" w:space="0"/>
                  </w:tcBorders>
                  <w:shd w:val="clear" w:color="000000" w:fill="FFFFFF"/>
                  <w:vAlign w:val="center"/>
                </w:tcPr>
                <w:p w14:paraId="70286477">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1.保障该系统全年稳定运行，降低故障率。</w:t>
                  </w:r>
                </w:p>
                <w:p w14:paraId="4B2D15FC">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2.提供主索引查询、新增、修订、合并、删除服务。</w:t>
                  </w:r>
                </w:p>
                <w:p w14:paraId="36AB6393">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3.提供主索引算法配置服务。</w:t>
                  </w:r>
                </w:p>
                <w:p w14:paraId="05FB93B3">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4.日常监控与巡检服务。</w:t>
                  </w:r>
                </w:p>
                <w:p w14:paraId="14F01647">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5.用户培训与支持服务。</w:t>
                  </w:r>
                </w:p>
              </w:tc>
            </w:tr>
            <w:tr w14:paraId="3C82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7DA05977">
                  <w:pPr>
                    <w:jc w:val="left"/>
                    <w:rPr>
                      <w:rFonts w:hint="eastAsia" w:ascii="宋体" w:hAnsi="宋体" w:eastAsia="宋体" w:cs="宋体"/>
                      <w:sz w:val="21"/>
                      <w:szCs w:val="21"/>
                    </w:rPr>
                  </w:pPr>
                  <w:r>
                    <w:rPr>
                      <w:rFonts w:hint="eastAsia" w:ascii="宋体" w:hAnsi="宋体" w:eastAsia="宋体" w:cs="宋体"/>
                      <w:sz w:val="21"/>
                      <w:szCs w:val="21"/>
                    </w:rPr>
                    <w:t>4</w:t>
                  </w:r>
                </w:p>
              </w:tc>
              <w:tc>
                <w:tcPr>
                  <w:tcW w:w="2291" w:type="dxa"/>
                  <w:tcBorders>
                    <w:left w:val="single" w:color="auto" w:sz="4" w:space="0"/>
                    <w:right w:val="single" w:color="auto" w:sz="4" w:space="0"/>
                  </w:tcBorders>
                  <w:shd w:val="clear" w:color="000000" w:fill="FFFFFF"/>
                  <w:vAlign w:val="center"/>
                </w:tcPr>
                <w:p w14:paraId="1E3F34EE">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主数据</w:t>
                  </w:r>
                </w:p>
              </w:tc>
              <w:tc>
                <w:tcPr>
                  <w:tcW w:w="5896" w:type="dxa"/>
                  <w:tcBorders>
                    <w:top w:val="single" w:color="auto" w:sz="4" w:space="0"/>
                    <w:left w:val="single" w:color="auto" w:sz="4" w:space="0"/>
                    <w:bottom w:val="single" w:color="auto" w:sz="4" w:space="0"/>
                    <w:right w:val="single" w:color="auto" w:sz="4" w:space="0"/>
                  </w:tcBorders>
                  <w:shd w:val="clear" w:color="000000" w:fill="FFFFFF"/>
                  <w:vAlign w:val="center"/>
                </w:tcPr>
                <w:p w14:paraId="20713506">
                  <w:pPr>
                    <w:widowControl/>
                    <w:numPr>
                      <w:ilvl w:val="0"/>
                      <w:numId w:val="0"/>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1.保障该系统全年稳定运行，降低故障率。</w:t>
                  </w:r>
                </w:p>
                <w:p w14:paraId="7B86AABD">
                  <w:pPr>
                    <w:widowControl/>
                    <w:numPr>
                      <w:ilvl w:val="0"/>
                      <w:numId w:val="0"/>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2.提供</w:t>
                  </w:r>
                  <w:r>
                    <w:rPr>
                      <w:rFonts w:hint="eastAsia" w:ascii="宋体" w:hAnsi="宋体" w:eastAsia="宋体" w:cs="宋体"/>
                      <w:color w:val="000000"/>
                      <w:sz w:val="21"/>
                      <w:szCs w:val="21"/>
                    </w:rPr>
                    <w:t>新增</w:t>
                  </w:r>
                  <w:r>
                    <w:rPr>
                      <w:rFonts w:hint="eastAsia" w:ascii="宋体" w:hAnsi="宋体" w:eastAsia="宋体" w:cs="宋体"/>
                      <w:color w:val="000000"/>
                      <w:sz w:val="21"/>
                      <w:szCs w:val="21"/>
                      <w:lang w:val="en-US" w:eastAsia="zh-CN"/>
                    </w:rPr>
                    <w:t>主</w:t>
                  </w:r>
                  <w:r>
                    <w:rPr>
                      <w:rFonts w:hint="eastAsia" w:ascii="宋体" w:hAnsi="宋体" w:eastAsia="宋体" w:cs="宋体"/>
                      <w:color w:val="000000"/>
                      <w:sz w:val="21"/>
                      <w:szCs w:val="21"/>
                    </w:rPr>
                    <w:t>数据、更新</w:t>
                  </w:r>
                  <w:r>
                    <w:rPr>
                      <w:rFonts w:hint="eastAsia" w:ascii="宋体" w:hAnsi="宋体" w:eastAsia="宋体" w:cs="宋体"/>
                      <w:color w:val="000000"/>
                      <w:sz w:val="21"/>
                      <w:szCs w:val="21"/>
                      <w:lang w:val="en-US" w:eastAsia="zh-CN"/>
                    </w:rPr>
                    <w:t>主数据字典服务。</w:t>
                  </w:r>
                </w:p>
                <w:p w14:paraId="0A252F4C">
                  <w:pPr>
                    <w:widowControl/>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日常监控与巡检服务</w:t>
                  </w:r>
                  <w:r>
                    <w:rPr>
                      <w:rFonts w:hint="eastAsia" w:ascii="宋体" w:hAnsi="宋体" w:eastAsia="宋体" w:cs="宋体"/>
                      <w:color w:val="000000"/>
                      <w:sz w:val="21"/>
                      <w:szCs w:val="21"/>
                      <w:lang w:eastAsia="zh-CN"/>
                    </w:rPr>
                    <w:t>。</w:t>
                  </w:r>
                </w:p>
                <w:p w14:paraId="5D214F65">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用户培训与支持</w:t>
                  </w:r>
                  <w:r>
                    <w:rPr>
                      <w:rFonts w:hint="eastAsia" w:ascii="宋体" w:hAnsi="宋体" w:eastAsia="宋体" w:cs="宋体"/>
                      <w:color w:val="000000"/>
                      <w:sz w:val="21"/>
                      <w:szCs w:val="21"/>
                      <w:lang w:val="en-US" w:eastAsia="zh-CN"/>
                    </w:rPr>
                    <w:t>服务。</w:t>
                  </w:r>
                </w:p>
              </w:tc>
            </w:tr>
            <w:tr w14:paraId="7CBC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76330692">
                  <w:pPr>
                    <w:jc w:val="left"/>
                    <w:rPr>
                      <w:rFonts w:hint="eastAsia" w:ascii="宋体" w:hAnsi="宋体" w:eastAsia="宋体" w:cs="宋体"/>
                      <w:sz w:val="21"/>
                      <w:szCs w:val="21"/>
                    </w:rPr>
                  </w:pPr>
                  <w:r>
                    <w:rPr>
                      <w:rFonts w:hint="eastAsia" w:ascii="宋体" w:hAnsi="宋体" w:eastAsia="宋体" w:cs="宋体"/>
                      <w:sz w:val="21"/>
                      <w:szCs w:val="21"/>
                    </w:rPr>
                    <w:t>5</w:t>
                  </w:r>
                </w:p>
              </w:tc>
              <w:tc>
                <w:tcPr>
                  <w:tcW w:w="2291" w:type="dxa"/>
                  <w:tcBorders>
                    <w:left w:val="single" w:color="auto" w:sz="4" w:space="0"/>
                    <w:right w:val="single" w:color="auto" w:sz="4" w:space="0"/>
                  </w:tcBorders>
                  <w:shd w:val="clear" w:color="000000" w:fill="FFFFFF"/>
                  <w:vAlign w:val="center"/>
                </w:tcPr>
                <w:p w14:paraId="2F770876">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数据接入引擎</w:t>
                  </w:r>
                </w:p>
              </w:tc>
              <w:tc>
                <w:tcPr>
                  <w:tcW w:w="5896" w:type="dxa"/>
                  <w:tcBorders>
                    <w:top w:val="single" w:color="auto" w:sz="4" w:space="0"/>
                    <w:left w:val="single" w:color="auto" w:sz="4" w:space="0"/>
                    <w:bottom w:val="single" w:color="auto" w:sz="4" w:space="0"/>
                    <w:right w:val="single" w:color="auto" w:sz="4" w:space="0"/>
                  </w:tcBorders>
                  <w:shd w:val="clear" w:color="000000" w:fill="FFFFFF"/>
                  <w:vAlign w:val="center"/>
                </w:tcPr>
                <w:p w14:paraId="42B89547">
                  <w:pPr>
                    <w:widowControl/>
                    <w:numPr>
                      <w:ilvl w:val="0"/>
                      <w:numId w:val="0"/>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1.保障该系统全年稳定运行，降低故障率。</w:t>
                  </w:r>
                </w:p>
                <w:p w14:paraId="6E4598DE">
                  <w:pPr>
                    <w:widowControl/>
                    <w:numPr>
                      <w:ilvl w:val="0"/>
                      <w:numId w:val="0"/>
                    </w:num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2.提供现有已接入HIS、LIS、PACS、手术麻醉系统的工程作业</w:t>
                  </w:r>
                  <w:r>
                    <w:rPr>
                      <w:rFonts w:hint="eastAsia" w:ascii="宋体" w:hAnsi="宋体" w:eastAsia="宋体" w:cs="宋体"/>
                      <w:color w:val="000000"/>
                      <w:sz w:val="21"/>
                      <w:szCs w:val="21"/>
                    </w:rPr>
                    <w:t>日常监控与巡检服务</w:t>
                  </w:r>
                  <w:r>
                    <w:rPr>
                      <w:rFonts w:hint="eastAsia" w:ascii="宋体" w:hAnsi="宋体" w:eastAsia="宋体" w:cs="宋体"/>
                      <w:color w:val="000000"/>
                      <w:sz w:val="21"/>
                      <w:szCs w:val="21"/>
                      <w:lang w:eastAsia="zh-CN"/>
                    </w:rPr>
                    <w:t>。</w:t>
                  </w:r>
                </w:p>
                <w:p w14:paraId="293C4FF6">
                  <w:pPr>
                    <w:widowControl/>
                    <w:jc w:val="left"/>
                    <w:rPr>
                      <w:rFonts w:hint="eastAsia" w:ascii="宋体" w:hAnsi="宋体" w:eastAsia="宋体" w:cs="宋体"/>
                      <w:sz w:val="21"/>
                      <w:szCs w:val="21"/>
                      <w:lang w:bidi="ar"/>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用户培训与支持</w:t>
                  </w:r>
                  <w:r>
                    <w:rPr>
                      <w:rFonts w:hint="eastAsia" w:ascii="宋体" w:hAnsi="宋体" w:eastAsia="宋体" w:cs="宋体"/>
                      <w:color w:val="000000"/>
                      <w:sz w:val="21"/>
                      <w:szCs w:val="21"/>
                      <w:lang w:val="en-US" w:eastAsia="zh-CN"/>
                    </w:rPr>
                    <w:t>服务。</w:t>
                  </w:r>
                </w:p>
              </w:tc>
            </w:tr>
            <w:tr w14:paraId="0DD5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7118F6BC">
                  <w:pPr>
                    <w:jc w:val="left"/>
                    <w:rPr>
                      <w:rFonts w:hint="eastAsia" w:ascii="宋体" w:hAnsi="宋体" w:eastAsia="宋体" w:cs="宋体"/>
                      <w:sz w:val="21"/>
                      <w:szCs w:val="21"/>
                    </w:rPr>
                  </w:pPr>
                  <w:r>
                    <w:rPr>
                      <w:rFonts w:hint="eastAsia" w:ascii="宋体" w:hAnsi="宋体" w:eastAsia="宋体" w:cs="宋体"/>
                      <w:sz w:val="21"/>
                      <w:szCs w:val="21"/>
                    </w:rPr>
                    <w:t>6</w:t>
                  </w:r>
                </w:p>
              </w:tc>
              <w:tc>
                <w:tcPr>
                  <w:tcW w:w="2291" w:type="dxa"/>
                  <w:tcBorders>
                    <w:left w:val="single" w:color="auto" w:sz="4" w:space="0"/>
                    <w:right w:val="single" w:color="auto" w:sz="4" w:space="0"/>
                  </w:tcBorders>
                  <w:shd w:val="clear" w:color="000000" w:fill="FFFFFF"/>
                  <w:vAlign w:val="center"/>
                </w:tcPr>
                <w:p w14:paraId="1FE1ABE6">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★临床数据中心</w:t>
                  </w:r>
                </w:p>
              </w:tc>
              <w:tc>
                <w:tcPr>
                  <w:tcW w:w="5896" w:type="dxa"/>
                  <w:tcBorders>
                    <w:top w:val="single" w:color="auto" w:sz="4" w:space="0"/>
                    <w:left w:val="single" w:color="auto" w:sz="4" w:space="0"/>
                    <w:bottom w:val="single" w:color="auto" w:sz="4" w:space="0"/>
                    <w:right w:val="single" w:color="auto" w:sz="4" w:space="0"/>
                  </w:tcBorders>
                  <w:shd w:val="clear" w:color="000000" w:fill="FFFFFF"/>
                  <w:vAlign w:val="center"/>
                </w:tcPr>
                <w:p w14:paraId="65B5CD3C">
                  <w:pPr>
                    <w:widowControl/>
                    <w:numPr>
                      <w:ilvl w:val="0"/>
                      <w:numId w:val="0"/>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1.保障该系统全年稳定运行，降低故障率。</w:t>
                  </w:r>
                </w:p>
                <w:p w14:paraId="252D7388">
                  <w:pPr>
                    <w:widowControl/>
                    <w:numPr>
                      <w:ilvl w:val="0"/>
                      <w:numId w:val="0"/>
                    </w:num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2.提供临床数据中心</w:t>
                  </w:r>
                  <w:r>
                    <w:rPr>
                      <w:rFonts w:hint="eastAsia" w:ascii="宋体" w:hAnsi="宋体" w:eastAsia="宋体" w:cs="宋体"/>
                      <w:color w:val="000000"/>
                      <w:sz w:val="21"/>
                      <w:szCs w:val="21"/>
                    </w:rPr>
                    <w:t>日常监控与巡检服务</w:t>
                  </w:r>
                  <w:r>
                    <w:rPr>
                      <w:rFonts w:hint="eastAsia" w:ascii="宋体" w:hAnsi="宋体" w:eastAsia="宋体" w:cs="宋体"/>
                      <w:color w:val="000000"/>
                      <w:sz w:val="21"/>
                      <w:szCs w:val="21"/>
                      <w:lang w:eastAsia="zh-CN"/>
                    </w:rPr>
                    <w:t>。</w:t>
                  </w:r>
                </w:p>
                <w:p w14:paraId="34E33017">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3.提供异常数据处理服务。</w:t>
                  </w:r>
                </w:p>
                <w:p w14:paraId="481AAB64">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用户培训与支持</w:t>
                  </w:r>
                  <w:r>
                    <w:rPr>
                      <w:rFonts w:hint="eastAsia" w:ascii="宋体" w:hAnsi="宋体" w:eastAsia="宋体" w:cs="宋体"/>
                      <w:color w:val="000000"/>
                      <w:sz w:val="21"/>
                      <w:szCs w:val="21"/>
                      <w:lang w:val="en-US" w:eastAsia="zh-CN"/>
                    </w:rPr>
                    <w:t>服务。</w:t>
                  </w:r>
                </w:p>
              </w:tc>
            </w:tr>
            <w:tr w14:paraId="31F6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05C4F436">
                  <w:pPr>
                    <w:jc w:val="left"/>
                    <w:rPr>
                      <w:rFonts w:hint="eastAsia" w:ascii="宋体" w:hAnsi="宋体" w:eastAsia="宋体" w:cs="宋体"/>
                      <w:sz w:val="21"/>
                      <w:szCs w:val="21"/>
                    </w:rPr>
                  </w:pPr>
                  <w:r>
                    <w:rPr>
                      <w:rFonts w:hint="eastAsia" w:ascii="宋体" w:hAnsi="宋体" w:eastAsia="宋体" w:cs="宋体"/>
                      <w:sz w:val="21"/>
                      <w:szCs w:val="21"/>
                    </w:rPr>
                    <w:t>7</w:t>
                  </w:r>
                </w:p>
              </w:tc>
              <w:tc>
                <w:tcPr>
                  <w:tcW w:w="2291" w:type="dxa"/>
                  <w:tcBorders>
                    <w:left w:val="single" w:color="auto" w:sz="4" w:space="0"/>
                    <w:right w:val="single" w:color="auto" w:sz="4" w:space="0"/>
                  </w:tcBorders>
                  <w:shd w:val="clear" w:color="000000" w:fill="FFFFFF"/>
                  <w:vAlign w:val="center"/>
                </w:tcPr>
                <w:p w14:paraId="26E1D718">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全景视图</w:t>
                  </w:r>
                </w:p>
              </w:tc>
              <w:tc>
                <w:tcPr>
                  <w:tcW w:w="5896" w:type="dxa"/>
                  <w:tcBorders>
                    <w:top w:val="single" w:color="auto" w:sz="4" w:space="0"/>
                    <w:left w:val="single" w:color="auto" w:sz="4" w:space="0"/>
                    <w:bottom w:val="single" w:color="auto" w:sz="4" w:space="0"/>
                    <w:right w:val="single" w:color="auto" w:sz="4" w:space="0"/>
                  </w:tcBorders>
                  <w:shd w:val="clear" w:color="000000" w:fill="FFFFFF"/>
                  <w:vAlign w:val="center"/>
                </w:tcPr>
                <w:p w14:paraId="0E111A68">
                  <w:pPr>
                    <w:widowControl/>
                    <w:numPr>
                      <w:ilvl w:val="0"/>
                      <w:numId w:val="0"/>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1.保障该系统全年稳定运行，降低故障率。</w:t>
                  </w:r>
                </w:p>
                <w:p w14:paraId="035F21CC">
                  <w:pPr>
                    <w:widowControl/>
                    <w:numPr>
                      <w:ilvl w:val="0"/>
                      <w:numId w:val="0"/>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2.保障全景视图集成的HIS、LIS、PACS、手术麻醉业务系统数据</w:t>
                  </w:r>
                  <w:r>
                    <w:rPr>
                      <w:rFonts w:hint="eastAsia" w:ascii="宋体" w:hAnsi="宋体" w:eastAsia="宋体" w:cs="宋体"/>
                      <w:color w:val="000000"/>
                      <w:sz w:val="21"/>
                      <w:szCs w:val="21"/>
                    </w:rPr>
                    <w:t>完整性、一致性</w:t>
                  </w:r>
                  <w:r>
                    <w:rPr>
                      <w:rFonts w:hint="eastAsia" w:ascii="宋体" w:hAnsi="宋体" w:eastAsia="宋体" w:cs="宋体"/>
                      <w:color w:val="000000"/>
                      <w:sz w:val="21"/>
                      <w:szCs w:val="21"/>
                      <w:lang w:val="en-US" w:eastAsia="zh-CN"/>
                    </w:rPr>
                    <w:t>服务。</w:t>
                  </w:r>
                </w:p>
                <w:p w14:paraId="52891E01">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3.提供</w:t>
                  </w:r>
                  <w:r>
                    <w:rPr>
                      <w:rFonts w:hint="eastAsia" w:ascii="宋体" w:hAnsi="宋体" w:eastAsia="宋体" w:cs="宋体"/>
                      <w:color w:val="000000"/>
                      <w:sz w:val="21"/>
                      <w:szCs w:val="21"/>
                    </w:rPr>
                    <w:t>从源头系统（</w:t>
                  </w:r>
                  <w:r>
                    <w:rPr>
                      <w:rFonts w:hint="eastAsia" w:ascii="宋体" w:hAnsi="宋体" w:eastAsia="宋体" w:cs="宋体"/>
                      <w:color w:val="000000"/>
                      <w:sz w:val="21"/>
                      <w:szCs w:val="21"/>
                      <w:lang w:val="en-US" w:eastAsia="zh-CN"/>
                    </w:rPr>
                    <w:t>HIS、LIS、PACS、手术麻醉</w:t>
                  </w:r>
                  <w:r>
                    <w:rPr>
                      <w:rFonts w:hint="eastAsia" w:ascii="宋体" w:hAnsi="宋体" w:eastAsia="宋体" w:cs="宋体"/>
                      <w:color w:val="000000"/>
                      <w:sz w:val="21"/>
                      <w:szCs w:val="21"/>
                    </w:rPr>
                    <w:t>）到</w:t>
                  </w:r>
                  <w:r>
                    <w:rPr>
                      <w:rFonts w:hint="eastAsia" w:ascii="宋体" w:hAnsi="宋体" w:eastAsia="宋体" w:cs="宋体"/>
                      <w:color w:val="000000"/>
                      <w:sz w:val="21"/>
                      <w:szCs w:val="21"/>
                      <w:lang w:val="en-US" w:eastAsia="zh-CN"/>
                    </w:rPr>
                    <w:t>全景视图</w:t>
                  </w:r>
                  <w:r>
                    <w:rPr>
                      <w:rFonts w:hint="eastAsia" w:ascii="宋体" w:hAnsi="宋体" w:eastAsia="宋体" w:cs="宋体"/>
                      <w:color w:val="000000"/>
                      <w:sz w:val="21"/>
                      <w:szCs w:val="21"/>
                    </w:rPr>
                    <w:t>的数据同步作业</w:t>
                  </w:r>
                  <w:r>
                    <w:rPr>
                      <w:rFonts w:hint="eastAsia" w:ascii="宋体" w:hAnsi="宋体" w:eastAsia="宋体" w:cs="宋体"/>
                      <w:color w:val="000000"/>
                      <w:sz w:val="21"/>
                      <w:szCs w:val="21"/>
                      <w:lang w:val="en-US" w:eastAsia="zh-CN"/>
                    </w:rPr>
                    <w:t>日常</w:t>
                  </w:r>
                  <w:r>
                    <w:rPr>
                      <w:rFonts w:hint="eastAsia" w:ascii="宋体" w:hAnsi="宋体" w:eastAsia="宋体" w:cs="宋体"/>
                      <w:color w:val="000000"/>
                      <w:sz w:val="21"/>
                      <w:szCs w:val="21"/>
                    </w:rPr>
                    <w:t>监控</w:t>
                  </w:r>
                  <w:r>
                    <w:rPr>
                      <w:rFonts w:hint="eastAsia" w:ascii="宋体" w:hAnsi="宋体" w:eastAsia="宋体" w:cs="宋体"/>
                      <w:color w:val="000000"/>
                      <w:sz w:val="21"/>
                      <w:szCs w:val="21"/>
                      <w:lang w:val="en-US" w:eastAsia="zh-CN"/>
                    </w:rPr>
                    <w:t>服务。</w:t>
                  </w:r>
                </w:p>
                <w:p w14:paraId="2EB42516">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对失败作业</w:t>
                  </w:r>
                  <w:r>
                    <w:rPr>
                      <w:rFonts w:hint="eastAsia" w:ascii="宋体" w:hAnsi="宋体" w:eastAsia="宋体" w:cs="宋体"/>
                      <w:color w:val="000000"/>
                      <w:sz w:val="21"/>
                      <w:szCs w:val="21"/>
                      <w:lang w:val="en-US" w:eastAsia="zh-CN"/>
                    </w:rPr>
                    <w:t>或异常数据</w:t>
                  </w:r>
                  <w:r>
                    <w:rPr>
                      <w:rFonts w:hint="eastAsia" w:ascii="宋体" w:hAnsi="宋体" w:eastAsia="宋体" w:cs="宋体"/>
                      <w:color w:val="000000"/>
                      <w:sz w:val="21"/>
                      <w:szCs w:val="21"/>
                    </w:rPr>
                    <w:t>进行排查</w:t>
                  </w:r>
                  <w:r>
                    <w:rPr>
                      <w:rFonts w:hint="eastAsia" w:ascii="宋体" w:hAnsi="宋体" w:eastAsia="宋体" w:cs="宋体"/>
                      <w:color w:val="000000"/>
                      <w:sz w:val="21"/>
                      <w:szCs w:val="21"/>
                      <w:lang w:val="en-US" w:eastAsia="zh-CN"/>
                    </w:rPr>
                    <w:t>处理服务。</w:t>
                  </w:r>
                </w:p>
                <w:p w14:paraId="74C039A9">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用户培训与支持</w:t>
                  </w:r>
                  <w:r>
                    <w:rPr>
                      <w:rFonts w:hint="eastAsia" w:ascii="宋体" w:hAnsi="宋体" w:eastAsia="宋体" w:cs="宋体"/>
                      <w:color w:val="000000"/>
                      <w:sz w:val="21"/>
                      <w:szCs w:val="21"/>
                      <w:lang w:val="en-US" w:eastAsia="zh-CN"/>
                    </w:rPr>
                    <w:t>服务。</w:t>
                  </w:r>
                </w:p>
              </w:tc>
            </w:tr>
            <w:tr w14:paraId="0F77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65" w:hRule="atLeast"/>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2BFF090B">
                  <w:pPr>
                    <w:jc w:val="left"/>
                    <w:rPr>
                      <w:rFonts w:hint="eastAsia" w:ascii="宋体" w:hAnsi="宋体" w:eastAsia="宋体" w:cs="宋体"/>
                      <w:sz w:val="21"/>
                      <w:szCs w:val="21"/>
                    </w:rPr>
                  </w:pPr>
                  <w:r>
                    <w:rPr>
                      <w:rFonts w:hint="eastAsia" w:ascii="宋体" w:hAnsi="宋体" w:eastAsia="宋体" w:cs="宋体"/>
                      <w:sz w:val="21"/>
                      <w:szCs w:val="21"/>
                    </w:rPr>
                    <w:t>8</w:t>
                  </w:r>
                </w:p>
              </w:tc>
              <w:tc>
                <w:tcPr>
                  <w:tcW w:w="2291" w:type="dxa"/>
                  <w:tcBorders>
                    <w:left w:val="single" w:color="auto" w:sz="4" w:space="0"/>
                    <w:right w:val="single" w:color="auto" w:sz="4" w:space="0"/>
                  </w:tcBorders>
                  <w:shd w:val="clear" w:color="000000" w:fill="FFFFFF"/>
                  <w:vAlign w:val="center"/>
                </w:tcPr>
                <w:p w14:paraId="27D33F74">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院领导综合查询及决策管理系统</w:t>
                  </w:r>
                </w:p>
              </w:tc>
              <w:tc>
                <w:tcPr>
                  <w:tcW w:w="5896" w:type="dxa"/>
                  <w:vMerge w:val="restart"/>
                  <w:tcBorders>
                    <w:top w:val="single" w:color="auto" w:sz="4" w:space="0"/>
                    <w:left w:val="single" w:color="auto" w:sz="4" w:space="0"/>
                    <w:right w:val="single" w:color="auto" w:sz="4" w:space="0"/>
                  </w:tcBorders>
                  <w:shd w:val="clear" w:color="000000" w:fill="FFFFFF"/>
                  <w:vAlign w:val="center"/>
                </w:tcPr>
                <w:p w14:paraId="3584398C">
                  <w:pPr>
                    <w:widowControl/>
                    <w:numPr>
                      <w:ilvl w:val="0"/>
                      <w:numId w:val="0"/>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1.保障该系统全年稳定运行，降低故障率。</w:t>
                  </w:r>
                </w:p>
                <w:p w14:paraId="6BD14BAC">
                  <w:pPr>
                    <w:widowControl/>
                    <w:numPr>
                      <w:ilvl w:val="0"/>
                      <w:numId w:val="0"/>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2.保障系统现有的报表</w:t>
                  </w:r>
                  <w:r>
                    <w:rPr>
                      <w:rFonts w:hint="eastAsia" w:ascii="宋体" w:hAnsi="宋体" w:eastAsia="宋体" w:cs="宋体"/>
                      <w:color w:val="000000"/>
                      <w:sz w:val="21"/>
                      <w:szCs w:val="21"/>
                    </w:rPr>
                    <w:t>数据</w:t>
                  </w:r>
                  <w:r>
                    <w:rPr>
                      <w:rFonts w:hint="eastAsia" w:ascii="宋体" w:hAnsi="宋体" w:eastAsia="宋体" w:cs="宋体"/>
                      <w:color w:val="000000"/>
                      <w:sz w:val="21"/>
                      <w:szCs w:val="21"/>
                      <w:lang w:val="en-US" w:eastAsia="zh-CN"/>
                    </w:rPr>
                    <w:t>一致性、准确性、及时性服务。</w:t>
                  </w:r>
                </w:p>
                <w:p w14:paraId="6BFC4722">
                  <w:pPr>
                    <w:widowControl/>
                    <w:numPr>
                      <w:ilvl w:val="0"/>
                      <w:numId w:val="0"/>
                    </w:num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3.提供异常报表数据人工处理服务。</w:t>
                  </w:r>
                </w:p>
                <w:p w14:paraId="5242A167">
                  <w:pPr>
                    <w:widowControl/>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4.根据医院管理和业务变化，在系统结构允许的前提下，提供必要的字典调整、报表或功能新增、调整和修改服务。</w:t>
                  </w:r>
                </w:p>
                <w:p w14:paraId="2E8F39D8">
                  <w:pPr>
                    <w:widowControl/>
                    <w:jc w:val="left"/>
                    <w:rPr>
                      <w:rFonts w:hint="eastAsia" w:ascii="宋体" w:hAnsi="宋体" w:eastAsia="宋体" w:cs="宋体"/>
                      <w:sz w:val="21"/>
                      <w:szCs w:val="21"/>
                      <w:lang w:bidi="ar"/>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用户培训与支持</w:t>
                  </w:r>
                  <w:r>
                    <w:rPr>
                      <w:rFonts w:hint="eastAsia" w:ascii="宋体" w:hAnsi="宋体" w:eastAsia="宋体" w:cs="宋体"/>
                      <w:color w:val="000000"/>
                      <w:sz w:val="21"/>
                      <w:szCs w:val="21"/>
                      <w:lang w:val="en-US" w:eastAsia="zh-CN"/>
                    </w:rPr>
                    <w:t>服务。</w:t>
                  </w:r>
                </w:p>
              </w:tc>
            </w:tr>
            <w:tr w14:paraId="7A88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171" w:hRule="atLeast"/>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38FA0DF3">
                  <w:pPr>
                    <w:jc w:val="left"/>
                    <w:rPr>
                      <w:rFonts w:hint="eastAsia" w:ascii="宋体" w:hAnsi="宋体" w:eastAsia="宋体" w:cs="宋体"/>
                      <w:sz w:val="21"/>
                      <w:szCs w:val="21"/>
                    </w:rPr>
                  </w:pPr>
                  <w:r>
                    <w:rPr>
                      <w:rFonts w:hint="eastAsia" w:ascii="宋体" w:hAnsi="宋体" w:eastAsia="宋体" w:cs="宋体"/>
                      <w:sz w:val="21"/>
                      <w:szCs w:val="21"/>
                    </w:rPr>
                    <w:t>9</w:t>
                  </w:r>
                </w:p>
              </w:tc>
              <w:tc>
                <w:tcPr>
                  <w:tcW w:w="2291" w:type="dxa"/>
                  <w:tcBorders>
                    <w:left w:val="single" w:color="auto" w:sz="4" w:space="0"/>
                    <w:right w:val="single" w:color="auto" w:sz="4" w:space="0"/>
                  </w:tcBorders>
                  <w:shd w:val="clear" w:color="000000" w:fill="FFFFFF"/>
                  <w:vAlign w:val="center"/>
                </w:tcPr>
                <w:p w14:paraId="06862738">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医院综合运营分析管理系统</w:t>
                  </w:r>
                </w:p>
              </w:tc>
              <w:tc>
                <w:tcPr>
                  <w:tcW w:w="5896" w:type="dxa"/>
                  <w:vMerge w:val="continue"/>
                  <w:tcBorders>
                    <w:left w:val="single" w:color="auto" w:sz="4" w:space="0"/>
                    <w:bottom w:val="single" w:color="auto" w:sz="4" w:space="0"/>
                    <w:right w:val="single" w:color="auto" w:sz="4" w:space="0"/>
                  </w:tcBorders>
                  <w:shd w:val="clear" w:color="000000" w:fill="FFFFFF"/>
                  <w:vAlign w:val="center"/>
                </w:tcPr>
                <w:p w14:paraId="4351C2D8">
                  <w:pPr>
                    <w:widowControl/>
                    <w:jc w:val="left"/>
                    <w:rPr>
                      <w:rFonts w:hint="eastAsia" w:ascii="宋体" w:hAnsi="宋体" w:eastAsia="宋体" w:cs="宋体"/>
                      <w:sz w:val="21"/>
                      <w:szCs w:val="21"/>
                      <w:lang w:bidi="ar"/>
                    </w:rPr>
                  </w:pPr>
                </w:p>
              </w:tc>
            </w:tr>
            <w:tr w14:paraId="2494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2AF1B913">
                  <w:pPr>
                    <w:jc w:val="left"/>
                    <w:rPr>
                      <w:rFonts w:hint="eastAsia" w:ascii="宋体" w:hAnsi="宋体" w:eastAsia="宋体" w:cs="宋体"/>
                      <w:sz w:val="21"/>
                      <w:szCs w:val="21"/>
                    </w:rPr>
                  </w:pPr>
                  <w:r>
                    <w:rPr>
                      <w:rFonts w:hint="eastAsia" w:ascii="宋体" w:hAnsi="宋体" w:eastAsia="宋体" w:cs="宋体"/>
                      <w:sz w:val="21"/>
                      <w:szCs w:val="21"/>
                    </w:rPr>
                    <w:t>10</w:t>
                  </w:r>
                </w:p>
              </w:tc>
              <w:tc>
                <w:tcPr>
                  <w:tcW w:w="2291" w:type="dxa"/>
                  <w:tcBorders>
                    <w:left w:val="single" w:color="auto" w:sz="4" w:space="0"/>
                    <w:right w:val="single" w:color="auto" w:sz="4" w:space="0"/>
                  </w:tcBorders>
                  <w:shd w:val="clear" w:color="000000" w:fill="FFFFFF"/>
                  <w:vAlign w:val="center"/>
                </w:tcPr>
                <w:p w14:paraId="3FFE062D">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接口服务</w:t>
                  </w:r>
                </w:p>
              </w:tc>
              <w:tc>
                <w:tcPr>
                  <w:tcW w:w="5896" w:type="dxa"/>
                  <w:tcBorders>
                    <w:top w:val="single" w:color="auto" w:sz="4" w:space="0"/>
                    <w:left w:val="single" w:color="auto" w:sz="4" w:space="0"/>
                    <w:bottom w:val="single" w:color="auto" w:sz="4" w:space="0"/>
                    <w:right w:val="single" w:color="auto" w:sz="4" w:space="0"/>
                  </w:tcBorders>
                  <w:shd w:val="clear" w:color="000000" w:fill="FFFFFF"/>
                  <w:vAlign w:val="center"/>
                </w:tcPr>
                <w:p w14:paraId="0ABA28FB">
                  <w:pPr>
                    <w:widowControl/>
                    <w:numPr>
                      <w:ilvl w:val="0"/>
                      <w:numId w:val="1"/>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保障现有通过集成平台上传到《深圳市全民健康信息平台》接口数据的稳定性、及时性、一致性服务。</w:t>
                  </w:r>
                </w:p>
                <w:p w14:paraId="636F02EB">
                  <w:pPr>
                    <w:widowControl/>
                    <w:numPr>
                      <w:ilvl w:val="0"/>
                      <w:numId w:val="1"/>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保障因其他原因导致数据未能及时上报，人为补传数据服务。</w:t>
                  </w:r>
                </w:p>
                <w:p w14:paraId="7D0145C6">
                  <w:pPr>
                    <w:widowControl/>
                    <w:jc w:val="left"/>
                    <w:rPr>
                      <w:rFonts w:hint="eastAsia" w:ascii="宋体" w:hAnsi="宋体" w:eastAsia="宋体" w:cs="宋体"/>
                      <w:sz w:val="21"/>
                      <w:szCs w:val="21"/>
                      <w:lang w:bidi="ar"/>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用户培训与支持</w:t>
                  </w:r>
                  <w:r>
                    <w:rPr>
                      <w:rFonts w:hint="eastAsia" w:ascii="宋体" w:hAnsi="宋体" w:eastAsia="宋体" w:cs="宋体"/>
                      <w:color w:val="000000"/>
                      <w:sz w:val="21"/>
                      <w:szCs w:val="21"/>
                      <w:lang w:val="en-US" w:eastAsia="zh-CN"/>
                    </w:rPr>
                    <w:t>服务。</w:t>
                  </w:r>
                </w:p>
              </w:tc>
            </w:tr>
            <w:tr w14:paraId="1CCB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2" w:type="dxa"/>
                  <w:tcBorders>
                    <w:top w:val="single" w:color="auto" w:sz="4" w:space="0"/>
                    <w:left w:val="single" w:color="auto" w:sz="12" w:space="0"/>
                    <w:bottom w:val="single" w:color="auto" w:sz="4" w:space="0"/>
                    <w:right w:val="single" w:color="auto" w:sz="4" w:space="0"/>
                  </w:tcBorders>
                  <w:shd w:val="clear" w:color="000000" w:fill="FFFFFF"/>
                  <w:vAlign w:val="center"/>
                </w:tcPr>
                <w:p w14:paraId="6F274829">
                  <w:pPr>
                    <w:jc w:val="left"/>
                    <w:rPr>
                      <w:rFonts w:hint="eastAsia" w:ascii="宋体" w:hAnsi="宋体" w:eastAsia="宋体" w:cs="宋体"/>
                      <w:sz w:val="21"/>
                      <w:szCs w:val="21"/>
                    </w:rPr>
                  </w:pPr>
                  <w:r>
                    <w:rPr>
                      <w:rFonts w:hint="eastAsia" w:ascii="宋体" w:hAnsi="宋体" w:eastAsia="宋体" w:cs="宋体"/>
                      <w:sz w:val="21"/>
                      <w:szCs w:val="21"/>
                    </w:rPr>
                    <w:t>11</w:t>
                  </w:r>
                </w:p>
              </w:tc>
              <w:tc>
                <w:tcPr>
                  <w:tcW w:w="2291" w:type="dxa"/>
                  <w:tcBorders>
                    <w:left w:val="single" w:color="auto" w:sz="4" w:space="0"/>
                    <w:right w:val="single" w:color="auto" w:sz="4" w:space="0"/>
                  </w:tcBorders>
                  <w:shd w:val="clear" w:color="000000" w:fill="FFFFFF"/>
                  <w:vAlign w:val="center"/>
                </w:tcPr>
                <w:p w14:paraId="244CBC86">
                  <w:pPr>
                    <w:widowControl/>
                    <w:jc w:val="left"/>
                    <w:rPr>
                      <w:rFonts w:hint="eastAsia" w:ascii="宋体" w:hAnsi="宋体" w:eastAsia="宋体" w:cs="宋体"/>
                      <w:sz w:val="21"/>
                      <w:szCs w:val="21"/>
                      <w:lang w:bidi="ar"/>
                    </w:rPr>
                  </w:pPr>
                  <w:r>
                    <w:rPr>
                      <w:rFonts w:hint="eastAsia" w:ascii="宋体" w:hAnsi="宋体" w:eastAsia="宋体" w:cs="宋体"/>
                      <w:sz w:val="21"/>
                      <w:szCs w:val="21"/>
                      <w:lang w:bidi="ar"/>
                    </w:rPr>
                    <w:t>服务器巡检</w:t>
                  </w:r>
                </w:p>
              </w:tc>
              <w:tc>
                <w:tcPr>
                  <w:tcW w:w="5896" w:type="dxa"/>
                  <w:tcBorders>
                    <w:top w:val="single" w:color="auto" w:sz="4" w:space="0"/>
                    <w:left w:val="single" w:color="auto" w:sz="4" w:space="0"/>
                    <w:bottom w:val="single" w:color="auto" w:sz="4" w:space="0"/>
                    <w:right w:val="single" w:color="auto" w:sz="4" w:space="0"/>
                  </w:tcBorders>
                  <w:shd w:val="clear" w:color="000000" w:fill="FFFFFF"/>
                  <w:vAlign w:val="center"/>
                </w:tcPr>
                <w:p w14:paraId="286E8B41">
                  <w:pPr>
                    <w:widowControl/>
                    <w:jc w:val="left"/>
                    <w:rPr>
                      <w:rFonts w:hint="eastAsia" w:ascii="宋体" w:hAnsi="宋体" w:eastAsia="宋体" w:cs="宋体"/>
                      <w:sz w:val="21"/>
                      <w:szCs w:val="21"/>
                      <w:lang w:bidi="ar"/>
                    </w:rPr>
                  </w:pPr>
                  <w:r>
                    <w:rPr>
                      <w:rFonts w:hint="eastAsia" w:ascii="宋体" w:hAnsi="宋体" w:eastAsia="宋体" w:cs="宋体"/>
                      <w:color w:val="000000"/>
                      <w:sz w:val="21"/>
                      <w:szCs w:val="21"/>
                      <w:lang w:val="en-US" w:eastAsia="zh-CN"/>
                    </w:rPr>
                    <w:t>1.提供按照医院管理要求，进行服务器安全巡检，巡检内容包括但不限于：服务器性能、软件应用服务是否满足使用要求。</w:t>
                  </w:r>
                </w:p>
              </w:tc>
            </w:tr>
          </w:tbl>
          <w:p w14:paraId="640C9B10"/>
        </w:tc>
      </w:tr>
      <w:bookmarkEnd w:id="0"/>
      <w:tr w14:paraId="0AF7E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113" w:type="dxa"/>
            <w:vAlign w:val="center"/>
          </w:tcPr>
          <w:p w14:paraId="69ACA766">
            <w:pPr>
              <w:rPr>
                <w:rFonts w:ascii="宋体" w:hAnsi="宋体" w:eastAsia="宋体" w:cs="宋体"/>
                <w:szCs w:val="21"/>
              </w:rPr>
            </w:pPr>
            <w:r>
              <w:rPr>
                <w:rFonts w:hint="eastAsia" w:ascii="宋体" w:hAnsi="宋体" w:eastAsia="宋体" w:cs="宋体"/>
                <w:szCs w:val="21"/>
              </w:rPr>
              <w:t>服务要求</w:t>
            </w:r>
          </w:p>
        </w:tc>
        <w:tc>
          <w:tcPr>
            <w:tcW w:w="9427" w:type="dxa"/>
            <w:gridSpan w:val="3"/>
            <w:vAlign w:val="center"/>
          </w:tcPr>
          <w:p w14:paraId="060943D0">
            <w:pPr>
              <w:rPr>
                <w:rFonts w:ascii="宋体" w:hAnsi="宋体" w:eastAsia="宋体" w:cs="宋体"/>
                <w:color w:val="auto"/>
                <w:szCs w:val="21"/>
                <w:u w:val="none"/>
              </w:rPr>
            </w:pPr>
            <w:r>
              <w:rPr>
                <w:rFonts w:hint="eastAsia" w:ascii="宋体" w:hAnsi="宋体" w:eastAsia="宋体" w:cs="宋体"/>
                <w:color w:val="auto"/>
                <w:szCs w:val="21"/>
                <w:u w:val="none"/>
              </w:rPr>
              <w:t>服务要求：</w:t>
            </w:r>
          </w:p>
          <w:p w14:paraId="405CB31F">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报价方应指派不少于1名专业技术人员负责本项目的运维服务。服务期内，技术人员每周需保证至少3天按医院日常办公时间进行现场驻场服务。</w:t>
            </w:r>
          </w:p>
          <w:p w14:paraId="78D03118">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报价方每周2天的远程在线支持，需提供7×24小时不间断响应服务。医院可通过电话、微信或系统工单等指定渠道提出服务需求或问题报修。报价方应在接到通知后1小时内通过指定渠道予以响应，并指派工程师开始问题分析与处理。若问题无法远程解决，技术支持人员须在4小时内抵达医院现场进行处理。每次服务完成后，须经医院方签字确认方可视为工单关闭。</w:t>
            </w:r>
          </w:p>
          <w:p w14:paraId="116154AA">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报价方必须完整持有该系统的源代码及全部技术文档（包括但不限于数据库表结构、数据关联逻辑与系统整体架构），以确保能够迅速定位数据异常、性能瓶颈等各类问题，同时具备系统底层问题排查及后续二次需求开发的能力。</w:t>
            </w:r>
          </w:p>
          <w:p w14:paraId="76A8A25F">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报价方应能够根据医院提出的合理业务需求，提供包括功能优化、接口拓展等在内的定制化开发服务。</w:t>
            </w:r>
          </w:p>
          <w:p w14:paraId="0F77B515">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在运维服务期内，对“服务清单及要求”所列的所有系统及服务内容，经采购方评估单项运维或开发需求工作量在10个工作日（含）内可完成的，报价方不得另行收取费用；经采购方评估单项运维或开发需求工作量超10个工作日，双方友好协商确定费用，并按照医院相关采购流程执行后方可实施。对于因医院业务发展需要的新系统对接、新增接口开发等需求，其工作量评估与费用计算标准应在合同附件中明确。报价方应在报价文件中提供标准化的开发人天单价，作为后续议价的依据。</w:t>
            </w:r>
          </w:p>
          <w:p w14:paraId="6592DC18">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报价方需医院管理要求至少每季度提供一次全面的系统与服务器巡检服务，并向医院提交书面报告。巡检内容需涵盖：服务器硬件及操作系统性能评估（CPU、内存、磁盘、网络）；各应用服务状态检查；日志安全审计分析；漏洞扫描与基线符合性检查。报价方需按医院要求制定数据备份机制，每两个月需按医院要求至少开展一次数据有效性恢复测试，并提供相关报告。</w:t>
            </w:r>
          </w:p>
          <w:p w14:paraId="3C50CDFD">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报价方应建立系统安全运维机制，对于医院或第三方安全检测发现的系统漏洞、安全隐患或不符合网络安全规范的问题，报价方须及时制定整改方案，并按网络安全管理规定（监管单位或采购方）的时间内完成修复与升级。涉及紧急高危漏洞时，报价方应在接到通知后立即启动应急响应，并在24小时内修复漏洞，确无法按时限修复的，也需提供临时防护措施或解决方案，确保系统持续符合网络安全等级保护及相关法律法规的要求。</w:t>
            </w:r>
          </w:p>
          <w:p w14:paraId="10C2973F">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报价方应确保本项目内系统已对接的所有接口的数据传输稳定，保障数据实时、准确、完整地交互。</w:t>
            </w:r>
          </w:p>
          <w:p w14:paraId="2408D398">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报价方应在服务期内，每季度更新一次系统技术文档（包括架构图、部署手册、接口文档等）。服务期满前，须提供完整的年度运维知识转移培训，并移交所有运维过程文档。</w:t>
            </w:r>
          </w:p>
          <w:p w14:paraId="1098BE7B">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服务级别协议（SLA）与考核标准</w:t>
            </w:r>
            <w:r>
              <w:rPr>
                <w:rFonts w:hint="eastAsia" w:ascii="宋体" w:hAnsi="宋体" w:eastAsia="宋体" w:cs="宋体"/>
                <w:color w:val="auto"/>
                <w:szCs w:val="21"/>
                <w:u w:val="none"/>
              </w:rPr>
              <w:br w:type="textWrapping"/>
            </w:r>
            <w:r>
              <w:rPr>
                <w:rFonts w:hint="eastAsia" w:ascii="宋体" w:hAnsi="宋体" w:eastAsia="宋体" w:cs="宋体"/>
                <w:color w:val="auto"/>
                <w:szCs w:val="21"/>
                <w:u w:val="none"/>
              </w:rPr>
              <w:t xml:space="preserve">    10.1系统可用性：核心业务模块（标注●号）月度累计可用性不低于99.5%。（计算公式：可用性=(1-计划外不可用时间/月度总时间)×100%）</w:t>
            </w:r>
            <w:r>
              <w:rPr>
                <w:rFonts w:hint="eastAsia" w:ascii="宋体" w:hAnsi="宋体" w:eastAsia="宋体" w:cs="宋体"/>
                <w:color w:val="auto"/>
                <w:szCs w:val="21"/>
                <w:u w:val="none"/>
              </w:rPr>
              <w:br w:type="textWrapping"/>
            </w:r>
            <w:r>
              <w:rPr>
                <w:rFonts w:hint="eastAsia" w:ascii="宋体" w:hAnsi="宋体" w:eastAsia="宋体" w:cs="宋体"/>
                <w:color w:val="auto"/>
                <w:szCs w:val="21"/>
                <w:u w:val="none"/>
              </w:rPr>
              <w:t xml:space="preserve">    10.2 数据质量：通过平台交互的核心业务数据（如患者主索引、诊疗记录）准确性要求100%；核心数据同步至目标系统的延迟时间不超过5分钟。</w:t>
            </w:r>
            <w:r>
              <w:rPr>
                <w:rFonts w:hint="eastAsia" w:ascii="宋体" w:hAnsi="宋体" w:eastAsia="宋体" w:cs="宋体"/>
                <w:color w:val="auto"/>
                <w:szCs w:val="21"/>
                <w:u w:val="none"/>
              </w:rPr>
              <w:br w:type="textWrapping"/>
            </w:r>
            <w:r>
              <w:rPr>
                <w:rFonts w:hint="eastAsia" w:ascii="宋体" w:hAnsi="宋体" w:eastAsia="宋体" w:cs="宋体"/>
                <w:color w:val="auto"/>
                <w:szCs w:val="21"/>
                <w:u w:val="none"/>
              </w:rPr>
              <w:t xml:space="preserve">    10.3 故障处理：</w:t>
            </w:r>
          </w:p>
          <w:p w14:paraId="20E5D5F7">
            <w:pPr>
              <w:pStyle w:val="23"/>
              <w:numPr>
                <w:ilvl w:val="255"/>
                <w:numId w:val="0"/>
              </w:numPr>
              <w:ind w:left="840" w:leftChars="400"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P1级（系统瘫痪：</w:t>
            </w:r>
            <w:r>
              <w:rPr>
                <w:rFonts w:ascii="Segoe UI" w:hAnsi="Segoe UI" w:eastAsia="Segoe UI" w:cs="Segoe UI"/>
                <w:color w:val="auto"/>
                <w:szCs w:val="21"/>
                <w:u w:val="none"/>
                <w:shd w:val="clear" w:color="auto" w:fill="FFFFFF"/>
              </w:rPr>
              <w:t>平台核心模块（</w:t>
            </w:r>
            <w:r>
              <w:rPr>
                <w:rFonts w:hint="eastAsia" w:ascii="宋体" w:hAnsi="宋体" w:eastAsia="宋体" w:cs="Segoe UI"/>
                <w:color w:val="auto"/>
                <w:szCs w:val="21"/>
                <w:u w:val="none"/>
                <w:shd w:val="clear" w:color="auto" w:fill="FFFFFF"/>
              </w:rPr>
              <w:t>●</w:t>
            </w:r>
            <w:r>
              <w:rPr>
                <w:rFonts w:ascii="Segoe UI" w:hAnsi="Segoe UI" w:eastAsia="Segoe UI" w:cs="Segoe UI"/>
                <w:color w:val="auto"/>
                <w:szCs w:val="21"/>
                <w:u w:val="none"/>
                <w:shd w:val="clear" w:color="auto" w:fill="FFFFFF"/>
              </w:rPr>
              <w:t>标记）完全瘫痪，导致全院或主要业务中断。</w:t>
            </w:r>
            <w:r>
              <w:rPr>
                <w:rFonts w:hint="eastAsia" w:ascii="宋体" w:hAnsi="宋体" w:eastAsia="宋体" w:cs="宋体"/>
                <w:color w:val="auto"/>
                <w:szCs w:val="21"/>
                <w:u w:val="none"/>
              </w:rPr>
              <w:t>）需在2小时内恢复服务；</w:t>
            </w:r>
          </w:p>
          <w:p w14:paraId="3377F62A">
            <w:pPr>
              <w:pStyle w:val="23"/>
              <w:numPr>
                <w:ilvl w:val="255"/>
                <w:numId w:val="0"/>
              </w:numPr>
              <w:ind w:left="840" w:leftChars="400"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P2级（核心功能严重受损：</w:t>
            </w:r>
            <w:r>
              <w:rPr>
                <w:rFonts w:ascii="Segoe UI" w:hAnsi="Segoe UI" w:eastAsia="Segoe UI" w:cs="Segoe UI"/>
                <w:color w:val="auto"/>
                <w:szCs w:val="21"/>
                <w:u w:val="none"/>
                <w:shd w:val="clear" w:color="auto" w:fill="FFFFFF"/>
              </w:rPr>
              <w:t>核心功能严重受损或性能急剧下降，严重影响部分科室业务。</w:t>
            </w:r>
            <w:r>
              <w:rPr>
                <w:rFonts w:hint="eastAsia" w:ascii="宋体" w:hAnsi="宋体" w:eastAsia="宋体" w:cs="宋体"/>
                <w:color w:val="auto"/>
                <w:szCs w:val="21"/>
                <w:u w:val="none"/>
              </w:rPr>
              <w:t>）需在4小时内解决；</w:t>
            </w:r>
          </w:p>
          <w:p w14:paraId="611DE8F6">
            <w:pPr>
              <w:pStyle w:val="23"/>
              <w:numPr>
                <w:ilvl w:val="255"/>
                <w:numId w:val="0"/>
              </w:numPr>
              <w:ind w:left="840" w:leftChars="400"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P3级（一般故障：非核心功能异常，存在变通方案，影响用户体验。）需在1个工作日内解决；</w:t>
            </w:r>
          </w:p>
          <w:p w14:paraId="6309E642">
            <w:pPr>
              <w:pStyle w:val="23"/>
              <w:numPr>
                <w:ilvl w:val="255"/>
                <w:numId w:val="0"/>
              </w:numPr>
              <w:ind w:left="840" w:leftChars="400"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P4级（轻微故障：咨询类问题或轻微瑕疵。）需在5个工作日内解决。</w:t>
            </w:r>
          </w:p>
          <w:p w14:paraId="5DE1E74F">
            <w:pPr>
              <w:pStyle w:val="23"/>
              <w:numPr>
                <w:ilvl w:val="255"/>
                <w:numId w:val="0"/>
              </w:numPr>
              <w:ind w:left="840" w:leftChars="400"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10.4 考核与扣罚：上述SLA指标将纳入季度考核（见商务需求3.1）。若未达标，医院有权根据合同约定按比例扣减当期服务费用。</w:t>
            </w:r>
          </w:p>
          <w:p w14:paraId="6E8D2836">
            <w:pPr>
              <w:pStyle w:val="23"/>
              <w:numPr>
                <w:ilvl w:val="0"/>
                <w:numId w:val="2"/>
              </w:numPr>
              <w:ind w:firstLineChars="0"/>
              <w:rPr>
                <w:rFonts w:ascii="宋体" w:hAnsi="宋体" w:eastAsia="宋体" w:cs="宋体"/>
                <w:color w:val="auto"/>
                <w:szCs w:val="21"/>
                <w:u w:val="none"/>
              </w:rPr>
            </w:pPr>
            <w:r>
              <w:rPr>
                <w:rFonts w:hint="eastAsia" w:ascii="宋体" w:hAnsi="宋体" w:eastAsia="宋体" w:cs="宋体"/>
                <w:color w:val="auto"/>
                <w:szCs w:val="21"/>
                <w:u w:val="none"/>
              </w:rPr>
              <w:t>本次运维服务的范围，不包括“南方医科大学深圳口腔医院（坪山）电子病历应用水平（四级）建设项目”中所涉及的相关建设内容。</w:t>
            </w:r>
          </w:p>
        </w:tc>
      </w:tr>
      <w:tr w14:paraId="56D2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76" w:hRule="atLeast"/>
          <w:tblCellSpacing w:w="0" w:type="dxa"/>
          <w:jc w:val="center"/>
        </w:trPr>
        <w:tc>
          <w:tcPr>
            <w:tcW w:w="1113" w:type="dxa"/>
            <w:vAlign w:val="center"/>
          </w:tcPr>
          <w:p w14:paraId="494FEA8F">
            <w:pPr>
              <w:rPr>
                <w:rFonts w:ascii="宋体" w:hAnsi="宋体" w:eastAsia="宋体" w:cs="宋体"/>
                <w:szCs w:val="21"/>
              </w:rPr>
            </w:pPr>
            <w:r>
              <w:rPr>
                <w:rFonts w:hint="eastAsia" w:ascii="宋体" w:hAnsi="宋体" w:eastAsia="宋体" w:cs="宋体"/>
                <w:szCs w:val="21"/>
              </w:rPr>
              <w:t>商务需求</w:t>
            </w:r>
          </w:p>
        </w:tc>
        <w:tc>
          <w:tcPr>
            <w:tcW w:w="9427" w:type="dxa"/>
            <w:gridSpan w:val="3"/>
            <w:vAlign w:val="center"/>
          </w:tcPr>
          <w:tbl>
            <w:tblPr>
              <w:tblStyle w:val="13"/>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7475"/>
            </w:tblGrid>
            <w:tr w14:paraId="45AE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60BA7464">
                  <w:pPr>
                    <w:rPr>
                      <w:rFonts w:ascii="宋体" w:hAnsi="宋体" w:eastAsia="宋体" w:cs="宋体"/>
                      <w:color w:val="auto"/>
                      <w:szCs w:val="21"/>
                      <w:u w:val="none"/>
                    </w:rPr>
                  </w:pPr>
                  <w:r>
                    <w:rPr>
                      <w:rFonts w:hint="eastAsia" w:ascii="宋体" w:hAnsi="宋体" w:eastAsia="宋体" w:cs="宋体"/>
                      <w:color w:val="auto"/>
                      <w:szCs w:val="21"/>
                      <w:u w:val="none"/>
                    </w:rPr>
                    <w:t>1.服务期限</w:t>
                  </w:r>
                </w:p>
              </w:tc>
              <w:tc>
                <w:tcPr>
                  <w:tcW w:w="7475" w:type="dxa"/>
                  <w:shd w:val="clear" w:color="auto" w:fill="auto"/>
                </w:tcPr>
                <w:p w14:paraId="46A77D0B">
                  <w:pPr>
                    <w:rPr>
                      <w:rFonts w:ascii="宋体" w:hAnsi="宋体" w:eastAsia="宋体" w:cs="宋体"/>
                      <w:color w:val="auto"/>
                      <w:szCs w:val="21"/>
                      <w:u w:val="none"/>
                    </w:rPr>
                  </w:pPr>
                  <w:r>
                    <w:rPr>
                      <w:rFonts w:hint="eastAsia" w:ascii="宋体" w:hAnsi="宋体" w:eastAsia="宋体" w:cs="宋体"/>
                      <w:color w:val="auto"/>
                      <w:szCs w:val="21"/>
                      <w:u w:val="none"/>
                      <w:lang w:bidi="ar"/>
                    </w:rPr>
                    <w:t>自签订之日起，一年内。</w:t>
                  </w:r>
                </w:p>
              </w:tc>
            </w:tr>
            <w:tr w14:paraId="227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07DE2C21">
                  <w:pPr>
                    <w:jc w:val="left"/>
                    <w:rPr>
                      <w:rFonts w:ascii="宋体" w:hAnsi="宋体" w:eastAsia="宋体" w:cs="宋体"/>
                      <w:color w:val="auto"/>
                      <w:szCs w:val="21"/>
                      <w:u w:val="none"/>
                    </w:rPr>
                  </w:pPr>
                  <w:r>
                    <w:rPr>
                      <w:rFonts w:hint="eastAsia" w:ascii="宋体" w:hAnsi="宋体" w:eastAsia="宋体" w:cs="宋体"/>
                      <w:color w:val="auto"/>
                      <w:szCs w:val="21"/>
                      <w:u w:val="none"/>
                    </w:rPr>
                    <w:t>2.预算说明</w:t>
                  </w:r>
                </w:p>
              </w:tc>
              <w:tc>
                <w:tcPr>
                  <w:tcW w:w="7475" w:type="dxa"/>
                  <w:shd w:val="clear" w:color="auto" w:fill="auto"/>
                  <w:vAlign w:val="center"/>
                </w:tcPr>
                <w:p w14:paraId="150A2631">
                  <w:pPr>
                    <w:rPr>
                      <w:rFonts w:ascii="宋体" w:hAnsi="宋体" w:eastAsia="宋体" w:cs="宋体"/>
                      <w:color w:val="auto"/>
                      <w:szCs w:val="21"/>
                      <w:u w:val="none"/>
                    </w:rPr>
                  </w:pPr>
                  <w:r>
                    <w:rPr>
                      <w:rFonts w:hint="eastAsia" w:ascii="宋体" w:hAnsi="宋体" w:eastAsia="宋体" w:cs="宋体"/>
                      <w:color w:val="auto"/>
                      <w:szCs w:val="21"/>
                      <w:u w:val="none"/>
                    </w:rPr>
                    <w:t>本项目报价不允许超过本次预算限额。</w:t>
                  </w:r>
                </w:p>
              </w:tc>
            </w:tr>
            <w:tr w14:paraId="344A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59E1F9E2">
                  <w:pPr>
                    <w:rPr>
                      <w:rFonts w:ascii="宋体" w:hAnsi="宋体" w:eastAsia="宋体" w:cs="宋体"/>
                      <w:color w:val="auto"/>
                      <w:szCs w:val="21"/>
                      <w:u w:val="none"/>
                    </w:rPr>
                  </w:pPr>
                  <w:r>
                    <w:rPr>
                      <w:rFonts w:hint="eastAsia" w:ascii="宋体" w:hAnsi="宋体" w:eastAsia="宋体" w:cs="宋体"/>
                      <w:color w:val="auto"/>
                      <w:szCs w:val="21"/>
                      <w:u w:val="none"/>
                    </w:rPr>
                    <w:t>3.验收要求</w:t>
                  </w:r>
                </w:p>
              </w:tc>
              <w:tc>
                <w:tcPr>
                  <w:tcW w:w="7475" w:type="dxa"/>
                  <w:shd w:val="clear" w:color="auto" w:fill="auto"/>
                </w:tcPr>
                <w:p w14:paraId="0EF3DD0B">
                  <w:pPr>
                    <w:rPr>
                      <w:rFonts w:ascii="宋体" w:hAnsi="宋体" w:eastAsia="宋体" w:cs="宋体"/>
                      <w:color w:val="auto"/>
                      <w:szCs w:val="21"/>
                      <w:u w:val="none"/>
                    </w:rPr>
                  </w:pPr>
                  <w:r>
                    <w:rPr>
                      <w:rFonts w:hint="eastAsia" w:ascii="宋体" w:hAnsi="宋体" w:eastAsia="宋体" w:cs="宋体"/>
                      <w:color w:val="auto"/>
                      <w:szCs w:val="21"/>
                      <w:u w:val="none"/>
                    </w:rPr>
                    <w:t>3.1 日常考核验收：医院将根据本合同约定的服务要求及SLA（服务级别协议）条款，按季度对服务进行考核。考核结果作为服务费支付的依据之一。</w:t>
                  </w:r>
                  <w:r>
                    <w:rPr>
                      <w:rFonts w:hint="eastAsia" w:ascii="宋体" w:hAnsi="宋体" w:eastAsia="宋体" w:cs="宋体"/>
                      <w:color w:val="auto"/>
                      <w:szCs w:val="21"/>
                      <w:u w:val="none"/>
                    </w:rPr>
                    <w:br w:type="textWrapping"/>
                  </w:r>
                  <w:r>
                    <w:rPr>
                      <w:rFonts w:hint="eastAsia" w:ascii="宋体" w:hAnsi="宋体" w:eastAsia="宋体" w:cs="宋体"/>
                      <w:color w:val="auto"/>
                      <w:szCs w:val="21"/>
                      <w:u w:val="none"/>
                    </w:rPr>
                    <w:t>3.2 最终验收：服务期满后，中标人需提交年度运维总结报告。采购人根据全年服务履约情况、故障记录、问题解决满意度及总结报告，组织最终验收。</w:t>
                  </w:r>
                </w:p>
              </w:tc>
            </w:tr>
            <w:tr w14:paraId="1F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1DD163FE">
                  <w:pPr>
                    <w:rPr>
                      <w:rFonts w:ascii="宋体" w:hAnsi="宋体" w:eastAsia="宋体" w:cs="宋体"/>
                      <w:color w:val="auto"/>
                      <w:szCs w:val="21"/>
                      <w:u w:val="none"/>
                    </w:rPr>
                  </w:pPr>
                  <w:r>
                    <w:rPr>
                      <w:rFonts w:hint="eastAsia" w:ascii="宋体" w:hAnsi="宋体" w:eastAsia="宋体" w:cs="宋体"/>
                      <w:color w:val="auto"/>
                      <w:szCs w:val="21"/>
                      <w:u w:val="none"/>
                    </w:rPr>
                    <w:t>4.付款条件</w:t>
                  </w:r>
                </w:p>
              </w:tc>
              <w:tc>
                <w:tcPr>
                  <w:tcW w:w="7475" w:type="dxa"/>
                  <w:shd w:val="clear" w:color="auto" w:fill="auto"/>
                  <w:vAlign w:val="center"/>
                </w:tcPr>
                <w:p w14:paraId="131054C0">
                  <w:pPr>
                    <w:rPr>
                      <w:rFonts w:ascii="宋体" w:hAnsi="宋体" w:eastAsia="宋体" w:cs="宋体"/>
                      <w:color w:val="auto"/>
                      <w:szCs w:val="21"/>
                      <w:u w:val="none"/>
                    </w:rPr>
                  </w:pPr>
                  <w:r>
                    <w:rPr>
                      <w:rFonts w:hint="eastAsia" w:ascii="宋体" w:hAnsi="宋体" w:eastAsia="宋体" w:cs="宋体"/>
                      <w:color w:val="auto"/>
                      <w:szCs w:val="21"/>
                      <w:u w:val="none"/>
                    </w:rPr>
                    <w:t>运维合同签订生效后10个日历日内，中标人须向医院开具合法有效的全额发票。医院收到发票之日起，按合同总金额的40%支付合同首付款。剩余60%的合同款项（即终验款）将在运维服务完成并通过最终验收后10个日历日内予以结清。</w:t>
                  </w:r>
                </w:p>
              </w:tc>
            </w:tr>
            <w:tr w14:paraId="280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4793A83A">
                  <w:pPr>
                    <w:rPr>
                      <w:rFonts w:ascii="宋体" w:hAnsi="宋体" w:eastAsia="宋体" w:cs="宋体"/>
                      <w:color w:val="auto"/>
                      <w:szCs w:val="21"/>
                      <w:u w:val="none"/>
                    </w:rPr>
                  </w:pPr>
                  <w:r>
                    <w:rPr>
                      <w:rFonts w:hint="eastAsia" w:ascii="宋体" w:hAnsi="宋体" w:eastAsia="宋体" w:cs="宋体"/>
                      <w:color w:val="auto"/>
                      <w:szCs w:val="21"/>
                      <w:u w:val="none"/>
                    </w:rPr>
                    <w:t>5.违约责任</w:t>
                  </w:r>
                </w:p>
              </w:tc>
              <w:tc>
                <w:tcPr>
                  <w:tcW w:w="7475" w:type="dxa"/>
                  <w:shd w:val="clear" w:color="auto" w:fill="auto"/>
                  <w:vAlign w:val="center"/>
                </w:tcPr>
                <w:p w14:paraId="01D9C048">
                  <w:pPr>
                    <w:rPr>
                      <w:rFonts w:ascii="宋体" w:hAnsi="宋体" w:eastAsia="宋体" w:cs="宋体"/>
                      <w:color w:val="auto"/>
                      <w:szCs w:val="21"/>
                      <w:u w:val="none"/>
                    </w:rPr>
                  </w:pPr>
                  <w:bookmarkStart w:id="1" w:name="OLE_LINK1"/>
                  <w:r>
                    <w:rPr>
                      <w:rFonts w:hint="eastAsia" w:ascii="宋体" w:hAnsi="宋体" w:eastAsia="宋体" w:cs="宋体"/>
                      <w:color w:val="auto"/>
                      <w:szCs w:val="21"/>
                      <w:u w:val="none"/>
                    </w:rPr>
                    <w:t>5.1因报价方未能履行合同中规定的保密条款，造成医院损失的，报价方应向医院赔偿，医院保留向报价方提起诉讼的权利。</w:t>
                  </w:r>
                </w:p>
                <w:p w14:paraId="582907FE">
                  <w:pPr>
                    <w:rPr>
                      <w:rFonts w:ascii="宋体" w:hAnsi="宋体" w:eastAsia="宋体" w:cs="宋体"/>
                      <w:color w:val="auto"/>
                      <w:szCs w:val="21"/>
                      <w:u w:val="none"/>
                    </w:rPr>
                  </w:pPr>
                  <w:r>
                    <w:rPr>
                      <w:rFonts w:hint="eastAsia" w:ascii="宋体" w:hAnsi="宋体" w:eastAsia="宋体" w:cs="宋体"/>
                      <w:color w:val="auto"/>
                      <w:szCs w:val="21"/>
                      <w:u w:val="none"/>
                    </w:rPr>
                    <w:t>5.3</w:t>
                  </w:r>
                  <w:r>
                    <w:rPr>
                      <w:rFonts w:ascii="宋体" w:hAnsi="宋体" w:eastAsia="宋体" w:cs="宋体"/>
                      <w:color w:val="auto"/>
                      <w:szCs w:val="21"/>
                      <w:u w:val="none"/>
                    </w:rPr>
                    <w:t>若报价方未按合同约定或医院明确要求的时间节点完成工作任务，且未就延期事项提前与医院进行沟通并获得同意，因此导致医院受到上级主管部门通报批评或其他形式负面评价的，视为报价方严重违约。</w:t>
                  </w:r>
                  <w:r>
                    <w:rPr>
                      <w:rFonts w:hint="eastAsia" w:ascii="宋体" w:hAnsi="宋体" w:eastAsia="宋体" w:cs="宋体"/>
                      <w:color w:val="auto"/>
                      <w:szCs w:val="21"/>
                      <w:u w:val="none"/>
                    </w:rPr>
                    <w:t>因报价方原因，同一故障月度内重复发生3次（含）以上，或未达到采购方的服务响应时间要求，医院有权按次/按比例扣除违约金。</w:t>
                  </w:r>
                  <w:r>
                    <w:rPr>
                      <w:rFonts w:ascii="宋体" w:hAnsi="宋体" w:eastAsia="宋体" w:cs="宋体"/>
                      <w:color w:val="auto"/>
                      <w:szCs w:val="21"/>
                      <w:u w:val="none"/>
                    </w:rPr>
                    <w:t>每次发生上述违约情形，</w:t>
                  </w:r>
                  <w:r>
                    <w:rPr>
                      <w:rFonts w:hint="eastAsia" w:ascii="宋体" w:hAnsi="宋体" w:eastAsia="宋体" w:cs="宋体"/>
                      <w:color w:val="auto"/>
                      <w:szCs w:val="21"/>
                      <w:u w:val="none"/>
                    </w:rPr>
                    <w:t>采购方</w:t>
                  </w:r>
                  <w:r>
                    <w:rPr>
                      <w:rFonts w:ascii="宋体" w:hAnsi="宋体" w:eastAsia="宋体" w:cs="宋体"/>
                      <w:color w:val="auto"/>
                      <w:szCs w:val="21"/>
                      <w:u w:val="none"/>
                    </w:rPr>
                    <w:t>有权从合同款项中扣除合同总金额的0.5%作为违约金。该项违约金累计扣除总额不超过合同总金额的10%。</w:t>
                  </w:r>
                  <w:r>
                    <w:rPr>
                      <w:rFonts w:hint="eastAsia" w:ascii="宋体" w:hAnsi="宋体" w:eastAsia="宋体" w:cs="宋体"/>
                      <w:color w:val="auto"/>
                      <w:szCs w:val="21"/>
                      <w:u w:val="none"/>
                    </w:rPr>
                    <w:t xml:space="preserve">                                                  </w:t>
                  </w:r>
                </w:p>
                <w:p w14:paraId="4A0EAE43">
                  <w:pPr>
                    <w:rPr>
                      <w:rFonts w:ascii="宋体" w:hAnsi="宋体" w:eastAsia="宋体" w:cs="宋体"/>
                      <w:color w:val="auto"/>
                      <w:szCs w:val="21"/>
                      <w:u w:val="none"/>
                    </w:rPr>
                  </w:pPr>
                  <w:r>
                    <w:rPr>
                      <w:rFonts w:hint="eastAsia" w:ascii="宋体" w:hAnsi="宋体" w:eastAsia="宋体" w:cs="宋体"/>
                      <w:color w:val="auto"/>
                      <w:szCs w:val="21"/>
                      <w:u w:val="none"/>
                    </w:rPr>
                    <w:t>5.4报价方不履行合同义务，或履行合同义务不符合约定时，医院有权解除合同，报价方应立即全额退还甲方所付款项，并向医院支付合同总金额的10%的违约金。</w:t>
                  </w:r>
                  <w:bookmarkEnd w:id="1"/>
                </w:p>
              </w:tc>
            </w:tr>
            <w:tr w14:paraId="562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37EEA6C5">
                  <w:pPr>
                    <w:pStyle w:val="3"/>
                    <w:tabs>
                      <w:tab w:val="right" w:pos="8312"/>
                    </w:tabs>
                    <w:spacing w:line="400" w:lineRule="exact"/>
                    <w:ind w:left="0" w:leftChars="0"/>
                    <w:rPr>
                      <w:rFonts w:ascii="宋体" w:hAnsi="宋体" w:eastAsia="宋体" w:cs="宋体"/>
                      <w:color w:val="auto"/>
                      <w:szCs w:val="21"/>
                      <w:u w:val="none"/>
                    </w:rPr>
                  </w:pPr>
                  <w:r>
                    <w:rPr>
                      <w:rFonts w:hint="eastAsia" w:ascii="宋体" w:hAnsi="宋体" w:eastAsia="宋体" w:cs="宋体"/>
                      <w:color w:val="auto"/>
                      <w:szCs w:val="21"/>
                      <w:u w:val="none"/>
                    </w:rPr>
                    <w:t>6.违约情形</w:t>
                  </w:r>
                </w:p>
              </w:tc>
              <w:tc>
                <w:tcPr>
                  <w:tcW w:w="7475" w:type="dxa"/>
                  <w:shd w:val="clear" w:color="auto" w:fill="auto"/>
                  <w:vAlign w:val="center"/>
                </w:tcPr>
                <w:p w14:paraId="77AF4FF8">
                  <w:pPr>
                    <w:rPr>
                      <w:rFonts w:ascii="宋体" w:hAnsi="宋体" w:eastAsia="宋体" w:cs="宋体"/>
                      <w:color w:val="auto"/>
                      <w:szCs w:val="21"/>
                      <w:u w:val="none"/>
                    </w:rPr>
                  </w:pPr>
                  <w:r>
                    <w:rPr>
                      <w:rFonts w:hint="eastAsia" w:ascii="宋体" w:hAnsi="宋体" w:eastAsia="宋体" w:cs="宋体"/>
                      <w:color w:val="auto"/>
                      <w:szCs w:val="21"/>
                      <w:u w:val="none"/>
                    </w:rPr>
                    <w:t>报价方在合同执行期间有下列行为之一的，采购人有权直接解除合同：</w:t>
                  </w:r>
                </w:p>
                <w:p w14:paraId="0ACF9062">
                  <w:pPr>
                    <w:rPr>
                      <w:rFonts w:ascii="宋体" w:hAnsi="宋体" w:eastAsia="宋体" w:cs="宋体"/>
                      <w:color w:val="auto"/>
                      <w:szCs w:val="21"/>
                      <w:u w:val="none"/>
                    </w:rPr>
                  </w:pPr>
                  <w:r>
                    <w:rPr>
                      <w:rFonts w:hint="eastAsia" w:ascii="宋体" w:hAnsi="宋体" w:eastAsia="宋体" w:cs="宋体"/>
                      <w:color w:val="auto"/>
                      <w:szCs w:val="21"/>
                      <w:u w:val="none"/>
                    </w:rPr>
                    <w:t>6.1擅自变更或者中止采购服务合同的；</w:t>
                  </w:r>
                </w:p>
                <w:p w14:paraId="3B22A53A">
                  <w:pPr>
                    <w:rPr>
                      <w:rFonts w:ascii="宋体" w:hAnsi="宋体" w:eastAsia="宋体" w:cs="宋体"/>
                      <w:color w:val="auto"/>
                      <w:szCs w:val="21"/>
                      <w:u w:val="none"/>
                    </w:rPr>
                  </w:pPr>
                  <w:r>
                    <w:rPr>
                      <w:rFonts w:hint="eastAsia" w:ascii="宋体" w:hAnsi="宋体" w:eastAsia="宋体" w:cs="宋体"/>
                      <w:color w:val="auto"/>
                      <w:szCs w:val="21"/>
                      <w:u w:val="none"/>
                    </w:rPr>
                    <w:t>6.2不按招投标文件以及服务合同要求全面履约的；</w:t>
                  </w:r>
                </w:p>
                <w:p w14:paraId="23E74C6D">
                  <w:pPr>
                    <w:rPr>
                      <w:rFonts w:ascii="宋体" w:hAnsi="宋体" w:eastAsia="宋体" w:cs="宋体"/>
                      <w:color w:val="auto"/>
                      <w:szCs w:val="21"/>
                      <w:u w:val="none"/>
                    </w:rPr>
                  </w:pPr>
                  <w:r>
                    <w:rPr>
                      <w:rFonts w:hint="eastAsia" w:ascii="宋体" w:hAnsi="宋体" w:eastAsia="宋体" w:cs="宋体"/>
                      <w:color w:val="auto"/>
                      <w:szCs w:val="21"/>
                      <w:u w:val="none"/>
                    </w:rPr>
                    <w:t>6.3非法分包或转包给任何单位和个人；</w:t>
                  </w:r>
                </w:p>
                <w:p w14:paraId="61091BE0">
                  <w:pPr>
                    <w:rPr>
                      <w:rFonts w:ascii="宋体" w:hAnsi="宋体" w:eastAsia="宋体" w:cs="宋体"/>
                      <w:color w:val="auto"/>
                      <w:szCs w:val="21"/>
                      <w:u w:val="none"/>
                    </w:rPr>
                  </w:pPr>
                  <w:r>
                    <w:rPr>
                      <w:rFonts w:hint="eastAsia" w:ascii="宋体" w:hAnsi="宋体" w:eastAsia="宋体" w:cs="宋体"/>
                      <w:color w:val="auto"/>
                      <w:szCs w:val="21"/>
                      <w:u w:val="none"/>
                    </w:rPr>
                    <w:t>6.4造成严重后果或恶劣影响的；</w:t>
                  </w:r>
                </w:p>
                <w:p w14:paraId="1A3979DF">
                  <w:pPr>
                    <w:rPr>
                      <w:rFonts w:ascii="宋体" w:hAnsi="宋体" w:eastAsia="宋体" w:cs="宋体"/>
                      <w:color w:val="auto"/>
                      <w:szCs w:val="21"/>
                      <w:u w:val="none"/>
                    </w:rPr>
                  </w:pPr>
                  <w:r>
                    <w:rPr>
                      <w:rFonts w:hint="eastAsia" w:ascii="宋体" w:hAnsi="宋体" w:eastAsia="宋体" w:cs="宋体"/>
                      <w:color w:val="auto"/>
                      <w:szCs w:val="21"/>
                      <w:u w:val="none"/>
                    </w:rPr>
                    <w:t>出现上述情况之一的，采购方有权终止服务合同，其中直接造成医院损失的，中标人应当进行赔偿。</w:t>
                  </w:r>
                </w:p>
              </w:tc>
            </w:tr>
          </w:tbl>
          <w:p w14:paraId="6F06B747">
            <w:pPr>
              <w:rPr>
                <w:rFonts w:ascii="宋体" w:hAnsi="宋体" w:eastAsia="宋体" w:cs="宋体"/>
                <w:color w:val="auto"/>
                <w:szCs w:val="21"/>
                <w:u w:val="none"/>
              </w:rPr>
            </w:pPr>
          </w:p>
        </w:tc>
      </w:tr>
      <w:tr w14:paraId="6CCFA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169528D7">
            <w:pPr>
              <w:rPr>
                <w:b/>
                <w:color w:val="FF0000"/>
              </w:rPr>
            </w:pPr>
            <w:r>
              <w:rPr>
                <w:rFonts w:hint="eastAsia"/>
                <w:b/>
                <w:color w:val="FF0000"/>
              </w:rPr>
              <w:t>注意事项</w:t>
            </w:r>
          </w:p>
        </w:tc>
        <w:tc>
          <w:tcPr>
            <w:tcW w:w="9427" w:type="dxa"/>
            <w:gridSpan w:val="3"/>
            <w:vAlign w:val="center"/>
          </w:tcPr>
          <w:p w14:paraId="2D2AA26C">
            <w:pPr>
              <w:rPr>
                <w:b/>
                <w:color w:val="FF0000"/>
              </w:rPr>
            </w:pPr>
            <w:r>
              <w:rPr>
                <w:rFonts w:hint="eastAsia" w:asciiTheme="minorEastAsia" w:hAnsiTheme="minorEastAsia"/>
                <w:b/>
                <w:color w:val="FF0000"/>
              </w:rPr>
              <w:t>需求中打★号的为必须满足项，报价方需在报价文件中做出承诺满足该要求，若报价方中标后无法执行，采购方有权撤销报价方的中标资质，撤销已签订的合同，并追究报价方的法律责任。</w:t>
            </w:r>
          </w:p>
        </w:tc>
      </w:tr>
    </w:tbl>
    <w:p w14:paraId="34478F3C"/>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6771F"/>
    <w:multiLevelType w:val="singleLevel"/>
    <w:tmpl w:val="D0D6771F"/>
    <w:lvl w:ilvl="0" w:tentative="0">
      <w:start w:val="1"/>
      <w:numFmt w:val="decimal"/>
      <w:lvlText w:val="%1."/>
      <w:lvlJc w:val="left"/>
      <w:pPr>
        <w:tabs>
          <w:tab w:val="left" w:pos="312"/>
        </w:tabs>
      </w:pPr>
    </w:lvl>
  </w:abstractNum>
  <w:abstractNum w:abstractNumId="1">
    <w:nsid w:val="244D646B"/>
    <w:multiLevelType w:val="multilevel"/>
    <w:tmpl w:val="244D646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090A"/>
    <w:rsid w:val="00002A27"/>
    <w:rsid w:val="00011B82"/>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1FF9"/>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11EE"/>
    <w:rsid w:val="001076B3"/>
    <w:rsid w:val="00111D09"/>
    <w:rsid w:val="00111F90"/>
    <w:rsid w:val="001251A8"/>
    <w:rsid w:val="0012630E"/>
    <w:rsid w:val="00141515"/>
    <w:rsid w:val="001559A6"/>
    <w:rsid w:val="00156886"/>
    <w:rsid w:val="00162B46"/>
    <w:rsid w:val="001641B0"/>
    <w:rsid w:val="00171162"/>
    <w:rsid w:val="0017382F"/>
    <w:rsid w:val="001818F0"/>
    <w:rsid w:val="0018247A"/>
    <w:rsid w:val="001846B6"/>
    <w:rsid w:val="00185417"/>
    <w:rsid w:val="0018666A"/>
    <w:rsid w:val="00191CF3"/>
    <w:rsid w:val="00191D5E"/>
    <w:rsid w:val="001967B4"/>
    <w:rsid w:val="001A049C"/>
    <w:rsid w:val="001B1FD0"/>
    <w:rsid w:val="001D10CC"/>
    <w:rsid w:val="001E01F8"/>
    <w:rsid w:val="001E28FF"/>
    <w:rsid w:val="001E4011"/>
    <w:rsid w:val="001E6A63"/>
    <w:rsid w:val="001F4D5B"/>
    <w:rsid w:val="00206B02"/>
    <w:rsid w:val="00215437"/>
    <w:rsid w:val="002160AE"/>
    <w:rsid w:val="002175B6"/>
    <w:rsid w:val="00221AC0"/>
    <w:rsid w:val="00230A6D"/>
    <w:rsid w:val="00230FBA"/>
    <w:rsid w:val="002320C7"/>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82EBF"/>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17EF4"/>
    <w:rsid w:val="00422E85"/>
    <w:rsid w:val="0043050C"/>
    <w:rsid w:val="00431DC1"/>
    <w:rsid w:val="00435F5A"/>
    <w:rsid w:val="00441374"/>
    <w:rsid w:val="00444170"/>
    <w:rsid w:val="0044584D"/>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1273"/>
    <w:rsid w:val="004E5766"/>
    <w:rsid w:val="004E6EAF"/>
    <w:rsid w:val="004E7C1A"/>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3BB"/>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40B8E"/>
    <w:rsid w:val="00743B8A"/>
    <w:rsid w:val="00745BFD"/>
    <w:rsid w:val="007535A8"/>
    <w:rsid w:val="0075797B"/>
    <w:rsid w:val="00760E5F"/>
    <w:rsid w:val="00761371"/>
    <w:rsid w:val="0076541D"/>
    <w:rsid w:val="007735F4"/>
    <w:rsid w:val="007772FF"/>
    <w:rsid w:val="00780C96"/>
    <w:rsid w:val="007854FC"/>
    <w:rsid w:val="00790729"/>
    <w:rsid w:val="0079446A"/>
    <w:rsid w:val="00795AF1"/>
    <w:rsid w:val="007975AF"/>
    <w:rsid w:val="00797F6C"/>
    <w:rsid w:val="007A1717"/>
    <w:rsid w:val="007A17A1"/>
    <w:rsid w:val="007A1CE5"/>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42095"/>
    <w:rsid w:val="00B4247F"/>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D02"/>
    <w:rsid w:val="00CD21AF"/>
    <w:rsid w:val="00CE0B92"/>
    <w:rsid w:val="00CE1E95"/>
    <w:rsid w:val="00CE274A"/>
    <w:rsid w:val="00CE3AD8"/>
    <w:rsid w:val="00CF174D"/>
    <w:rsid w:val="00D01278"/>
    <w:rsid w:val="00D015DA"/>
    <w:rsid w:val="00D03026"/>
    <w:rsid w:val="00D0414D"/>
    <w:rsid w:val="00D052E6"/>
    <w:rsid w:val="00D06779"/>
    <w:rsid w:val="00D10DB4"/>
    <w:rsid w:val="00D11F48"/>
    <w:rsid w:val="00D207BF"/>
    <w:rsid w:val="00D2260B"/>
    <w:rsid w:val="00D25285"/>
    <w:rsid w:val="00D273A9"/>
    <w:rsid w:val="00D34AD3"/>
    <w:rsid w:val="00D402B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9637F"/>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A68A8"/>
    <w:rsid w:val="00FB1278"/>
    <w:rsid w:val="00FB37E1"/>
    <w:rsid w:val="00FB7EE6"/>
    <w:rsid w:val="00FC0529"/>
    <w:rsid w:val="00FC2253"/>
    <w:rsid w:val="00FC453A"/>
    <w:rsid w:val="00FC5857"/>
    <w:rsid w:val="00FC63FB"/>
    <w:rsid w:val="00FC66E6"/>
    <w:rsid w:val="00FD3556"/>
    <w:rsid w:val="00FE02AA"/>
    <w:rsid w:val="00FE2D77"/>
    <w:rsid w:val="00FE680C"/>
    <w:rsid w:val="00FF054B"/>
    <w:rsid w:val="00FF3EFF"/>
    <w:rsid w:val="00FF3F47"/>
    <w:rsid w:val="00FF46CD"/>
    <w:rsid w:val="00FF53FC"/>
    <w:rsid w:val="00FF55B5"/>
    <w:rsid w:val="00FF6C23"/>
    <w:rsid w:val="012952DE"/>
    <w:rsid w:val="01505F15"/>
    <w:rsid w:val="015E6884"/>
    <w:rsid w:val="01804A4C"/>
    <w:rsid w:val="01852063"/>
    <w:rsid w:val="01BD35AB"/>
    <w:rsid w:val="024C2B81"/>
    <w:rsid w:val="02AE55E9"/>
    <w:rsid w:val="02B20C36"/>
    <w:rsid w:val="02B96468"/>
    <w:rsid w:val="02C24BF1"/>
    <w:rsid w:val="02C46BBB"/>
    <w:rsid w:val="02C55056"/>
    <w:rsid w:val="02C866AB"/>
    <w:rsid w:val="02D05560"/>
    <w:rsid w:val="02EA76FC"/>
    <w:rsid w:val="031251C5"/>
    <w:rsid w:val="03405DA5"/>
    <w:rsid w:val="03445EE6"/>
    <w:rsid w:val="034E794B"/>
    <w:rsid w:val="035937A7"/>
    <w:rsid w:val="03655CA8"/>
    <w:rsid w:val="036D7252"/>
    <w:rsid w:val="044955CA"/>
    <w:rsid w:val="04926F71"/>
    <w:rsid w:val="04B57B90"/>
    <w:rsid w:val="04C42EA2"/>
    <w:rsid w:val="04ED41A7"/>
    <w:rsid w:val="04FC088E"/>
    <w:rsid w:val="05085485"/>
    <w:rsid w:val="05281683"/>
    <w:rsid w:val="052F2FC5"/>
    <w:rsid w:val="05961CD6"/>
    <w:rsid w:val="05A028B1"/>
    <w:rsid w:val="05B80C59"/>
    <w:rsid w:val="05FA6964"/>
    <w:rsid w:val="060D2627"/>
    <w:rsid w:val="064249C6"/>
    <w:rsid w:val="065865C8"/>
    <w:rsid w:val="069F5975"/>
    <w:rsid w:val="06B34F7C"/>
    <w:rsid w:val="06DD649D"/>
    <w:rsid w:val="070B300A"/>
    <w:rsid w:val="072F4F4B"/>
    <w:rsid w:val="073410FE"/>
    <w:rsid w:val="074402CA"/>
    <w:rsid w:val="075C73C2"/>
    <w:rsid w:val="079800F2"/>
    <w:rsid w:val="07DE2D8B"/>
    <w:rsid w:val="07EB6D02"/>
    <w:rsid w:val="08365E65"/>
    <w:rsid w:val="08732C15"/>
    <w:rsid w:val="08745B19"/>
    <w:rsid w:val="088A58D8"/>
    <w:rsid w:val="08C449B7"/>
    <w:rsid w:val="09297778"/>
    <w:rsid w:val="092B1742"/>
    <w:rsid w:val="097F383C"/>
    <w:rsid w:val="09D41DD9"/>
    <w:rsid w:val="09F60228"/>
    <w:rsid w:val="09FA0BED"/>
    <w:rsid w:val="0A6C0264"/>
    <w:rsid w:val="0A821835"/>
    <w:rsid w:val="0AB911FE"/>
    <w:rsid w:val="0ABF2516"/>
    <w:rsid w:val="0AC91212"/>
    <w:rsid w:val="0AD33E3F"/>
    <w:rsid w:val="0B077F8D"/>
    <w:rsid w:val="0B291CB1"/>
    <w:rsid w:val="0B44732B"/>
    <w:rsid w:val="0BB377CC"/>
    <w:rsid w:val="0BCE7613"/>
    <w:rsid w:val="0BD95485"/>
    <w:rsid w:val="0BF17A23"/>
    <w:rsid w:val="0C142961"/>
    <w:rsid w:val="0C230975"/>
    <w:rsid w:val="0C2D57D1"/>
    <w:rsid w:val="0C6A2581"/>
    <w:rsid w:val="0C776A4C"/>
    <w:rsid w:val="0CE20369"/>
    <w:rsid w:val="0CE71E24"/>
    <w:rsid w:val="0D166265"/>
    <w:rsid w:val="0D4671DB"/>
    <w:rsid w:val="0D6C40D7"/>
    <w:rsid w:val="0D9A6E96"/>
    <w:rsid w:val="0DD24882"/>
    <w:rsid w:val="0DFE4D0E"/>
    <w:rsid w:val="0E8D07A9"/>
    <w:rsid w:val="0EB773D8"/>
    <w:rsid w:val="0ECE329B"/>
    <w:rsid w:val="0F056591"/>
    <w:rsid w:val="0F0F7410"/>
    <w:rsid w:val="0FAB181A"/>
    <w:rsid w:val="0FC91CB4"/>
    <w:rsid w:val="0FD06B9F"/>
    <w:rsid w:val="0FD85A54"/>
    <w:rsid w:val="0FE73EE9"/>
    <w:rsid w:val="10057731"/>
    <w:rsid w:val="10196798"/>
    <w:rsid w:val="102338A2"/>
    <w:rsid w:val="10353802"/>
    <w:rsid w:val="108C51BC"/>
    <w:rsid w:val="1111121D"/>
    <w:rsid w:val="119D0D03"/>
    <w:rsid w:val="11C95F9C"/>
    <w:rsid w:val="12046FD4"/>
    <w:rsid w:val="121E0D58"/>
    <w:rsid w:val="12CD345A"/>
    <w:rsid w:val="12D44BF8"/>
    <w:rsid w:val="12F9640D"/>
    <w:rsid w:val="130B7EEE"/>
    <w:rsid w:val="133438E9"/>
    <w:rsid w:val="1340403C"/>
    <w:rsid w:val="1349016D"/>
    <w:rsid w:val="13530102"/>
    <w:rsid w:val="13637D2A"/>
    <w:rsid w:val="13912AE9"/>
    <w:rsid w:val="139D323C"/>
    <w:rsid w:val="14157276"/>
    <w:rsid w:val="14D56A06"/>
    <w:rsid w:val="14E804E7"/>
    <w:rsid w:val="151C63E2"/>
    <w:rsid w:val="154C4F1A"/>
    <w:rsid w:val="1569271F"/>
    <w:rsid w:val="158E5532"/>
    <w:rsid w:val="15B34F99"/>
    <w:rsid w:val="15C471A6"/>
    <w:rsid w:val="15FF4C81"/>
    <w:rsid w:val="16227A29"/>
    <w:rsid w:val="166149F5"/>
    <w:rsid w:val="167A3D95"/>
    <w:rsid w:val="16B72867"/>
    <w:rsid w:val="16B965DF"/>
    <w:rsid w:val="16BA5EB3"/>
    <w:rsid w:val="16E318AE"/>
    <w:rsid w:val="172779EC"/>
    <w:rsid w:val="17A74689"/>
    <w:rsid w:val="17AE3C6A"/>
    <w:rsid w:val="17CE60BA"/>
    <w:rsid w:val="17D336D0"/>
    <w:rsid w:val="1800023D"/>
    <w:rsid w:val="181635BD"/>
    <w:rsid w:val="186C142F"/>
    <w:rsid w:val="189B3D4A"/>
    <w:rsid w:val="18A63D25"/>
    <w:rsid w:val="18BE612E"/>
    <w:rsid w:val="18F41B50"/>
    <w:rsid w:val="19570331"/>
    <w:rsid w:val="19575C3B"/>
    <w:rsid w:val="195C14A3"/>
    <w:rsid w:val="196C2E7E"/>
    <w:rsid w:val="197467ED"/>
    <w:rsid w:val="197A301A"/>
    <w:rsid w:val="1988673C"/>
    <w:rsid w:val="19AA66B3"/>
    <w:rsid w:val="19B55177"/>
    <w:rsid w:val="1A8A3DEE"/>
    <w:rsid w:val="1A971211"/>
    <w:rsid w:val="1A98650B"/>
    <w:rsid w:val="1AE23C2A"/>
    <w:rsid w:val="1B293607"/>
    <w:rsid w:val="1B651CB0"/>
    <w:rsid w:val="1B7900EB"/>
    <w:rsid w:val="1BB76E65"/>
    <w:rsid w:val="1BD76880"/>
    <w:rsid w:val="1C2914E8"/>
    <w:rsid w:val="1C2C33AF"/>
    <w:rsid w:val="1C5D3C4D"/>
    <w:rsid w:val="1C8C6544"/>
    <w:rsid w:val="1CA23671"/>
    <w:rsid w:val="1CCA0329"/>
    <w:rsid w:val="1CE7377A"/>
    <w:rsid w:val="1D1000E8"/>
    <w:rsid w:val="1D216C8C"/>
    <w:rsid w:val="1D4B4E83"/>
    <w:rsid w:val="1D5D2030"/>
    <w:rsid w:val="1D7C3EC2"/>
    <w:rsid w:val="1D8334A3"/>
    <w:rsid w:val="1D8828A2"/>
    <w:rsid w:val="1D9D585A"/>
    <w:rsid w:val="1DCD2970"/>
    <w:rsid w:val="1DE026A3"/>
    <w:rsid w:val="1E647772"/>
    <w:rsid w:val="1E9516DF"/>
    <w:rsid w:val="1EBD22AA"/>
    <w:rsid w:val="1EE80A37"/>
    <w:rsid w:val="1EEC5ECB"/>
    <w:rsid w:val="1EF503D0"/>
    <w:rsid w:val="1F7550B7"/>
    <w:rsid w:val="1F86727A"/>
    <w:rsid w:val="1FB16C3F"/>
    <w:rsid w:val="1FF34163"/>
    <w:rsid w:val="200A1C59"/>
    <w:rsid w:val="20216FA3"/>
    <w:rsid w:val="205E02FC"/>
    <w:rsid w:val="20617087"/>
    <w:rsid w:val="20785734"/>
    <w:rsid w:val="20983709"/>
    <w:rsid w:val="2129610F"/>
    <w:rsid w:val="2136082C"/>
    <w:rsid w:val="214116AB"/>
    <w:rsid w:val="21AD1B7C"/>
    <w:rsid w:val="21D63516"/>
    <w:rsid w:val="220015D2"/>
    <w:rsid w:val="2201708C"/>
    <w:rsid w:val="220F79FB"/>
    <w:rsid w:val="225E44DE"/>
    <w:rsid w:val="226E284B"/>
    <w:rsid w:val="22B1460E"/>
    <w:rsid w:val="22CA3922"/>
    <w:rsid w:val="22D7603D"/>
    <w:rsid w:val="230A1F70"/>
    <w:rsid w:val="230C3F3A"/>
    <w:rsid w:val="2329689A"/>
    <w:rsid w:val="234A63B7"/>
    <w:rsid w:val="23645B24"/>
    <w:rsid w:val="237F295E"/>
    <w:rsid w:val="2393640A"/>
    <w:rsid w:val="23FB116E"/>
    <w:rsid w:val="24082954"/>
    <w:rsid w:val="24863878"/>
    <w:rsid w:val="24885842"/>
    <w:rsid w:val="24C7636B"/>
    <w:rsid w:val="24ED56A6"/>
    <w:rsid w:val="24EE7D9B"/>
    <w:rsid w:val="24EF141E"/>
    <w:rsid w:val="253A0D01"/>
    <w:rsid w:val="25433787"/>
    <w:rsid w:val="25826736"/>
    <w:rsid w:val="25CB59E7"/>
    <w:rsid w:val="25E371D4"/>
    <w:rsid w:val="26243349"/>
    <w:rsid w:val="263E265D"/>
    <w:rsid w:val="26461511"/>
    <w:rsid w:val="26606A77"/>
    <w:rsid w:val="26661BB3"/>
    <w:rsid w:val="266B71CA"/>
    <w:rsid w:val="26AF5308"/>
    <w:rsid w:val="26B4291F"/>
    <w:rsid w:val="26E054C2"/>
    <w:rsid w:val="26E15011"/>
    <w:rsid w:val="26FE003E"/>
    <w:rsid w:val="2705317A"/>
    <w:rsid w:val="27076EF2"/>
    <w:rsid w:val="270A69E3"/>
    <w:rsid w:val="270E64D3"/>
    <w:rsid w:val="274A3283"/>
    <w:rsid w:val="275B2D9A"/>
    <w:rsid w:val="275F01D0"/>
    <w:rsid w:val="27A07774"/>
    <w:rsid w:val="27DA4607"/>
    <w:rsid w:val="280F640A"/>
    <w:rsid w:val="28876563"/>
    <w:rsid w:val="28924EE2"/>
    <w:rsid w:val="28AD3ACA"/>
    <w:rsid w:val="28B5297E"/>
    <w:rsid w:val="29121B7F"/>
    <w:rsid w:val="29252746"/>
    <w:rsid w:val="295921DA"/>
    <w:rsid w:val="299869FA"/>
    <w:rsid w:val="29B11398"/>
    <w:rsid w:val="29B13146"/>
    <w:rsid w:val="2A53244F"/>
    <w:rsid w:val="2ABB0720"/>
    <w:rsid w:val="2B0F281A"/>
    <w:rsid w:val="2B2067D5"/>
    <w:rsid w:val="2B373F53"/>
    <w:rsid w:val="2B476124"/>
    <w:rsid w:val="2B964CE9"/>
    <w:rsid w:val="2B9D5253"/>
    <w:rsid w:val="2BD65EC7"/>
    <w:rsid w:val="2C332538"/>
    <w:rsid w:val="2C3342E6"/>
    <w:rsid w:val="2C5030EA"/>
    <w:rsid w:val="2C622E1D"/>
    <w:rsid w:val="2C736DD8"/>
    <w:rsid w:val="2CD535EF"/>
    <w:rsid w:val="2CDF446E"/>
    <w:rsid w:val="2CF41CC7"/>
    <w:rsid w:val="2D17738E"/>
    <w:rsid w:val="2D3447B9"/>
    <w:rsid w:val="2D636E4D"/>
    <w:rsid w:val="2DE956D9"/>
    <w:rsid w:val="2DEA4E78"/>
    <w:rsid w:val="2E0979F4"/>
    <w:rsid w:val="2E1E7447"/>
    <w:rsid w:val="2E43648D"/>
    <w:rsid w:val="2E586286"/>
    <w:rsid w:val="2E593700"/>
    <w:rsid w:val="2E985F54"/>
    <w:rsid w:val="2E9C43C4"/>
    <w:rsid w:val="2EA8720D"/>
    <w:rsid w:val="2EAB2859"/>
    <w:rsid w:val="2EBC6814"/>
    <w:rsid w:val="2EC841B0"/>
    <w:rsid w:val="2ECF6B10"/>
    <w:rsid w:val="2ED95618"/>
    <w:rsid w:val="2EE76884"/>
    <w:rsid w:val="2F454A5C"/>
    <w:rsid w:val="2F4D3910"/>
    <w:rsid w:val="2F6F7D2B"/>
    <w:rsid w:val="2FD23E16"/>
    <w:rsid w:val="2FFB15BE"/>
    <w:rsid w:val="30066945"/>
    <w:rsid w:val="300D4E4E"/>
    <w:rsid w:val="304C24A0"/>
    <w:rsid w:val="30817D16"/>
    <w:rsid w:val="30937C76"/>
    <w:rsid w:val="30C45E54"/>
    <w:rsid w:val="310821E5"/>
    <w:rsid w:val="317C228B"/>
    <w:rsid w:val="31C12394"/>
    <w:rsid w:val="31CD2942"/>
    <w:rsid w:val="31F14A27"/>
    <w:rsid w:val="31F938DC"/>
    <w:rsid w:val="322C0750"/>
    <w:rsid w:val="322C5A5F"/>
    <w:rsid w:val="32335040"/>
    <w:rsid w:val="32382656"/>
    <w:rsid w:val="324645FF"/>
    <w:rsid w:val="325A2A82"/>
    <w:rsid w:val="325D20BC"/>
    <w:rsid w:val="328F5FEE"/>
    <w:rsid w:val="32AC4DF2"/>
    <w:rsid w:val="32B75C71"/>
    <w:rsid w:val="33064502"/>
    <w:rsid w:val="3344327C"/>
    <w:rsid w:val="336F02F9"/>
    <w:rsid w:val="337C30AF"/>
    <w:rsid w:val="33E462EB"/>
    <w:rsid w:val="33E83C08"/>
    <w:rsid w:val="33EA5BD2"/>
    <w:rsid w:val="34012F1B"/>
    <w:rsid w:val="342F5CDB"/>
    <w:rsid w:val="342F7A89"/>
    <w:rsid w:val="343F10D3"/>
    <w:rsid w:val="344C063B"/>
    <w:rsid w:val="34897199"/>
    <w:rsid w:val="34C06C9A"/>
    <w:rsid w:val="34CA155F"/>
    <w:rsid w:val="35215623"/>
    <w:rsid w:val="35246EC1"/>
    <w:rsid w:val="35A26038"/>
    <w:rsid w:val="35BA7826"/>
    <w:rsid w:val="35D73F34"/>
    <w:rsid w:val="35D812F2"/>
    <w:rsid w:val="35DA1C76"/>
    <w:rsid w:val="35F26FC0"/>
    <w:rsid w:val="36201D7F"/>
    <w:rsid w:val="363870C8"/>
    <w:rsid w:val="365E28A7"/>
    <w:rsid w:val="366A46AF"/>
    <w:rsid w:val="36716136"/>
    <w:rsid w:val="36730100"/>
    <w:rsid w:val="368A71F8"/>
    <w:rsid w:val="36B978C7"/>
    <w:rsid w:val="36D96A36"/>
    <w:rsid w:val="36DF7544"/>
    <w:rsid w:val="36E42DAC"/>
    <w:rsid w:val="36E71A90"/>
    <w:rsid w:val="37265173"/>
    <w:rsid w:val="376C4B50"/>
    <w:rsid w:val="37B22EAA"/>
    <w:rsid w:val="37EE502E"/>
    <w:rsid w:val="37F61F79"/>
    <w:rsid w:val="382D42DF"/>
    <w:rsid w:val="384635F3"/>
    <w:rsid w:val="385555E4"/>
    <w:rsid w:val="3862042D"/>
    <w:rsid w:val="386C12AB"/>
    <w:rsid w:val="38785BF3"/>
    <w:rsid w:val="38B467AE"/>
    <w:rsid w:val="38E47094"/>
    <w:rsid w:val="38FC7931"/>
    <w:rsid w:val="3914549F"/>
    <w:rsid w:val="394C787E"/>
    <w:rsid w:val="39673B94"/>
    <w:rsid w:val="39855919"/>
    <w:rsid w:val="39A802F2"/>
    <w:rsid w:val="39BD1693"/>
    <w:rsid w:val="39E60BE9"/>
    <w:rsid w:val="39ED6B3B"/>
    <w:rsid w:val="3A0045B7"/>
    <w:rsid w:val="3A053765"/>
    <w:rsid w:val="3A32128C"/>
    <w:rsid w:val="3A42356C"/>
    <w:rsid w:val="3A7D7122"/>
    <w:rsid w:val="3A810912"/>
    <w:rsid w:val="3AD16020"/>
    <w:rsid w:val="3B005CDB"/>
    <w:rsid w:val="3B3913E9"/>
    <w:rsid w:val="3B581673"/>
    <w:rsid w:val="3BAE4E39"/>
    <w:rsid w:val="3C0267B9"/>
    <w:rsid w:val="3C0B4937"/>
    <w:rsid w:val="3C6329C5"/>
    <w:rsid w:val="3C6D73A0"/>
    <w:rsid w:val="3C9568F7"/>
    <w:rsid w:val="3CAD1E92"/>
    <w:rsid w:val="3D121CF5"/>
    <w:rsid w:val="3D2739F3"/>
    <w:rsid w:val="3D5567B2"/>
    <w:rsid w:val="3D7B789B"/>
    <w:rsid w:val="3D9443CB"/>
    <w:rsid w:val="3D987913"/>
    <w:rsid w:val="3D9D3CB5"/>
    <w:rsid w:val="3DEE4511"/>
    <w:rsid w:val="3E3D58B5"/>
    <w:rsid w:val="3E691DE9"/>
    <w:rsid w:val="3ECE6247"/>
    <w:rsid w:val="3ECF3F0C"/>
    <w:rsid w:val="3EFC4A0B"/>
    <w:rsid w:val="3F093A09"/>
    <w:rsid w:val="3F1B7587"/>
    <w:rsid w:val="3F760C61"/>
    <w:rsid w:val="3F80388E"/>
    <w:rsid w:val="3FA550A3"/>
    <w:rsid w:val="401B7113"/>
    <w:rsid w:val="407D1B7C"/>
    <w:rsid w:val="40B52773"/>
    <w:rsid w:val="40D52048"/>
    <w:rsid w:val="40DA0D7C"/>
    <w:rsid w:val="40F167F2"/>
    <w:rsid w:val="40F36398"/>
    <w:rsid w:val="410B2C87"/>
    <w:rsid w:val="410B7187"/>
    <w:rsid w:val="41173D7E"/>
    <w:rsid w:val="413761CE"/>
    <w:rsid w:val="41562AF9"/>
    <w:rsid w:val="41725811"/>
    <w:rsid w:val="419453CF"/>
    <w:rsid w:val="41C11ED0"/>
    <w:rsid w:val="41E44267"/>
    <w:rsid w:val="420267DC"/>
    <w:rsid w:val="423170C2"/>
    <w:rsid w:val="424961B9"/>
    <w:rsid w:val="425D3A13"/>
    <w:rsid w:val="42913E89"/>
    <w:rsid w:val="42B45D29"/>
    <w:rsid w:val="42C10446"/>
    <w:rsid w:val="4355293C"/>
    <w:rsid w:val="436A288B"/>
    <w:rsid w:val="436A3AF2"/>
    <w:rsid w:val="4383394D"/>
    <w:rsid w:val="43C52FFD"/>
    <w:rsid w:val="43CC0E50"/>
    <w:rsid w:val="43CC70A2"/>
    <w:rsid w:val="440C749E"/>
    <w:rsid w:val="442E38B9"/>
    <w:rsid w:val="448E07FB"/>
    <w:rsid w:val="4492209A"/>
    <w:rsid w:val="44A92F3F"/>
    <w:rsid w:val="44AB6CB7"/>
    <w:rsid w:val="457E0BD1"/>
    <w:rsid w:val="45815C6A"/>
    <w:rsid w:val="45A2455E"/>
    <w:rsid w:val="45D863DE"/>
    <w:rsid w:val="45E71F71"/>
    <w:rsid w:val="46004DE1"/>
    <w:rsid w:val="461553B1"/>
    <w:rsid w:val="461E7644"/>
    <w:rsid w:val="46401681"/>
    <w:rsid w:val="465D0485"/>
    <w:rsid w:val="467852BF"/>
    <w:rsid w:val="4682613E"/>
    <w:rsid w:val="46AA2F9F"/>
    <w:rsid w:val="46B1432D"/>
    <w:rsid w:val="473531B0"/>
    <w:rsid w:val="474927B8"/>
    <w:rsid w:val="476475F1"/>
    <w:rsid w:val="47733450"/>
    <w:rsid w:val="47797541"/>
    <w:rsid w:val="47A143A2"/>
    <w:rsid w:val="47AA76FA"/>
    <w:rsid w:val="47AA7774"/>
    <w:rsid w:val="47BB1907"/>
    <w:rsid w:val="47BE31A6"/>
    <w:rsid w:val="47C6205A"/>
    <w:rsid w:val="47CF7161"/>
    <w:rsid w:val="47F4705A"/>
    <w:rsid w:val="48164D90"/>
    <w:rsid w:val="484D0086"/>
    <w:rsid w:val="486D24D6"/>
    <w:rsid w:val="4884619D"/>
    <w:rsid w:val="488E0DCA"/>
    <w:rsid w:val="488F069E"/>
    <w:rsid w:val="489F6B33"/>
    <w:rsid w:val="48C4659A"/>
    <w:rsid w:val="49090450"/>
    <w:rsid w:val="49492F43"/>
    <w:rsid w:val="496D13E6"/>
    <w:rsid w:val="497A30FC"/>
    <w:rsid w:val="4A145E90"/>
    <w:rsid w:val="4A1946C3"/>
    <w:rsid w:val="4A211429"/>
    <w:rsid w:val="4A9D70A2"/>
    <w:rsid w:val="4AF64A04"/>
    <w:rsid w:val="4B133808"/>
    <w:rsid w:val="4B2638D3"/>
    <w:rsid w:val="4B3774F7"/>
    <w:rsid w:val="4B515A7A"/>
    <w:rsid w:val="4B814C16"/>
    <w:rsid w:val="4BC30D8B"/>
    <w:rsid w:val="4BDE7972"/>
    <w:rsid w:val="4C06511B"/>
    <w:rsid w:val="4C697BB1"/>
    <w:rsid w:val="4C742085"/>
    <w:rsid w:val="4CBD1C7E"/>
    <w:rsid w:val="4CFF2296"/>
    <w:rsid w:val="4D07114B"/>
    <w:rsid w:val="4D6C7200"/>
    <w:rsid w:val="4D901140"/>
    <w:rsid w:val="4DC11F6C"/>
    <w:rsid w:val="4DD52FF7"/>
    <w:rsid w:val="4DFA2A5E"/>
    <w:rsid w:val="4E235B10"/>
    <w:rsid w:val="4E573A0C"/>
    <w:rsid w:val="4EAF3848"/>
    <w:rsid w:val="4EE41BC3"/>
    <w:rsid w:val="4EEE63C5"/>
    <w:rsid w:val="4F1B22DD"/>
    <w:rsid w:val="4F3965A5"/>
    <w:rsid w:val="4F4E12B3"/>
    <w:rsid w:val="4F840831"/>
    <w:rsid w:val="4FBC446F"/>
    <w:rsid w:val="4FBD1F95"/>
    <w:rsid w:val="4FC26023"/>
    <w:rsid w:val="4FC652ED"/>
    <w:rsid w:val="4FCD667C"/>
    <w:rsid w:val="4FF736F9"/>
    <w:rsid w:val="50306FB5"/>
    <w:rsid w:val="50630D8E"/>
    <w:rsid w:val="507503CA"/>
    <w:rsid w:val="50A941CF"/>
    <w:rsid w:val="50AA42C7"/>
    <w:rsid w:val="50B05655"/>
    <w:rsid w:val="50D531EC"/>
    <w:rsid w:val="51071719"/>
    <w:rsid w:val="511300BE"/>
    <w:rsid w:val="511C43E3"/>
    <w:rsid w:val="512027DB"/>
    <w:rsid w:val="515F7B5F"/>
    <w:rsid w:val="516C5F9F"/>
    <w:rsid w:val="516F72BF"/>
    <w:rsid w:val="518E73DD"/>
    <w:rsid w:val="51AF1D6C"/>
    <w:rsid w:val="51FC4FF6"/>
    <w:rsid w:val="52383B54"/>
    <w:rsid w:val="527F6B22"/>
    <w:rsid w:val="52B14033"/>
    <w:rsid w:val="52BE405A"/>
    <w:rsid w:val="52C0058C"/>
    <w:rsid w:val="52C11D9C"/>
    <w:rsid w:val="52E8557B"/>
    <w:rsid w:val="52EB0D4F"/>
    <w:rsid w:val="52EC6E19"/>
    <w:rsid w:val="53065A01"/>
    <w:rsid w:val="536E5A80"/>
    <w:rsid w:val="538434F5"/>
    <w:rsid w:val="5386726D"/>
    <w:rsid w:val="538F5DF9"/>
    <w:rsid w:val="539B25ED"/>
    <w:rsid w:val="53BD07B5"/>
    <w:rsid w:val="53F215D4"/>
    <w:rsid w:val="54420CBA"/>
    <w:rsid w:val="54493DF7"/>
    <w:rsid w:val="544B03A4"/>
    <w:rsid w:val="545509EE"/>
    <w:rsid w:val="545C1D7C"/>
    <w:rsid w:val="54613836"/>
    <w:rsid w:val="5479624C"/>
    <w:rsid w:val="54905ECA"/>
    <w:rsid w:val="54947768"/>
    <w:rsid w:val="54D1276A"/>
    <w:rsid w:val="54DB1ED7"/>
    <w:rsid w:val="550348EE"/>
    <w:rsid w:val="5540344C"/>
    <w:rsid w:val="555B0286"/>
    <w:rsid w:val="55735CBD"/>
    <w:rsid w:val="557B26D6"/>
    <w:rsid w:val="558107EB"/>
    <w:rsid w:val="5591253F"/>
    <w:rsid w:val="55AE6607"/>
    <w:rsid w:val="55C0633B"/>
    <w:rsid w:val="56044479"/>
    <w:rsid w:val="561843C9"/>
    <w:rsid w:val="56552F27"/>
    <w:rsid w:val="56633896"/>
    <w:rsid w:val="566E223B"/>
    <w:rsid w:val="56A63783"/>
    <w:rsid w:val="56AF6ADB"/>
    <w:rsid w:val="56C46F66"/>
    <w:rsid w:val="56CB143B"/>
    <w:rsid w:val="56E83D9B"/>
    <w:rsid w:val="56ED36EC"/>
    <w:rsid w:val="56F75D8C"/>
    <w:rsid w:val="56FA762A"/>
    <w:rsid w:val="571921A6"/>
    <w:rsid w:val="572052E3"/>
    <w:rsid w:val="573D7CA0"/>
    <w:rsid w:val="574D3BFE"/>
    <w:rsid w:val="57566F57"/>
    <w:rsid w:val="5785783C"/>
    <w:rsid w:val="57C32112"/>
    <w:rsid w:val="57DD1426"/>
    <w:rsid w:val="583106C5"/>
    <w:rsid w:val="5842572D"/>
    <w:rsid w:val="584C2108"/>
    <w:rsid w:val="588673C8"/>
    <w:rsid w:val="58892BEE"/>
    <w:rsid w:val="58DA3BB7"/>
    <w:rsid w:val="58EE31BF"/>
    <w:rsid w:val="58FE78A6"/>
    <w:rsid w:val="59036C6A"/>
    <w:rsid w:val="590649AC"/>
    <w:rsid w:val="593C217C"/>
    <w:rsid w:val="594B23BF"/>
    <w:rsid w:val="596671F9"/>
    <w:rsid w:val="59951076"/>
    <w:rsid w:val="5A0013FC"/>
    <w:rsid w:val="5A0E3B19"/>
    <w:rsid w:val="5A1C523D"/>
    <w:rsid w:val="5A5033A7"/>
    <w:rsid w:val="5A96449D"/>
    <w:rsid w:val="5AD92379"/>
    <w:rsid w:val="5AEA5C0E"/>
    <w:rsid w:val="5AED1980"/>
    <w:rsid w:val="5B1C2265"/>
    <w:rsid w:val="5B2A2BD4"/>
    <w:rsid w:val="5B2B06FA"/>
    <w:rsid w:val="5B353327"/>
    <w:rsid w:val="5B3C6463"/>
    <w:rsid w:val="5B4D0671"/>
    <w:rsid w:val="5BB16E51"/>
    <w:rsid w:val="5BB93F58"/>
    <w:rsid w:val="5BCF552A"/>
    <w:rsid w:val="5C5356DD"/>
    <w:rsid w:val="5C677510"/>
    <w:rsid w:val="5C78171D"/>
    <w:rsid w:val="5C8E1D00"/>
    <w:rsid w:val="5C915E6B"/>
    <w:rsid w:val="5C9F314E"/>
    <w:rsid w:val="5C9F4EFC"/>
    <w:rsid w:val="5C9F6CAA"/>
    <w:rsid w:val="5CB35A78"/>
    <w:rsid w:val="5CC2508E"/>
    <w:rsid w:val="5D042FB1"/>
    <w:rsid w:val="5D276C9F"/>
    <w:rsid w:val="5D327458"/>
    <w:rsid w:val="5D467A6D"/>
    <w:rsid w:val="5D494E68"/>
    <w:rsid w:val="5D551A5E"/>
    <w:rsid w:val="5D55380D"/>
    <w:rsid w:val="5D6A1FCB"/>
    <w:rsid w:val="5D785605"/>
    <w:rsid w:val="5D92680F"/>
    <w:rsid w:val="5DA622BA"/>
    <w:rsid w:val="5DDC7A8A"/>
    <w:rsid w:val="5E204216"/>
    <w:rsid w:val="5E710B1A"/>
    <w:rsid w:val="5E9D546B"/>
    <w:rsid w:val="5EA467FA"/>
    <w:rsid w:val="5EB033F0"/>
    <w:rsid w:val="5EB6477F"/>
    <w:rsid w:val="5ED50F19"/>
    <w:rsid w:val="5EE17A4E"/>
    <w:rsid w:val="5EF37781"/>
    <w:rsid w:val="5F0C439F"/>
    <w:rsid w:val="5F3C4C84"/>
    <w:rsid w:val="5F5244A8"/>
    <w:rsid w:val="5F97010C"/>
    <w:rsid w:val="5FB567E4"/>
    <w:rsid w:val="5FE13A7D"/>
    <w:rsid w:val="5FF67529"/>
    <w:rsid w:val="602844E5"/>
    <w:rsid w:val="606D70BF"/>
    <w:rsid w:val="611759A9"/>
    <w:rsid w:val="61B236C7"/>
    <w:rsid w:val="61CB28D4"/>
    <w:rsid w:val="61E433B1"/>
    <w:rsid w:val="61E6537B"/>
    <w:rsid w:val="61EB0BE3"/>
    <w:rsid w:val="621C0D9D"/>
    <w:rsid w:val="622D4D58"/>
    <w:rsid w:val="623065F6"/>
    <w:rsid w:val="625B18C5"/>
    <w:rsid w:val="627E55B4"/>
    <w:rsid w:val="62B114E5"/>
    <w:rsid w:val="62C54F90"/>
    <w:rsid w:val="62EE098B"/>
    <w:rsid w:val="63006D65"/>
    <w:rsid w:val="63155F18"/>
    <w:rsid w:val="63230E1D"/>
    <w:rsid w:val="63493E13"/>
    <w:rsid w:val="634E142A"/>
    <w:rsid w:val="635D166D"/>
    <w:rsid w:val="63812FE4"/>
    <w:rsid w:val="63A4729C"/>
    <w:rsid w:val="63CB65D6"/>
    <w:rsid w:val="63D351D4"/>
    <w:rsid w:val="63F11E13"/>
    <w:rsid w:val="640C0196"/>
    <w:rsid w:val="641E704E"/>
    <w:rsid w:val="64267CB1"/>
    <w:rsid w:val="64281C7B"/>
    <w:rsid w:val="642D7291"/>
    <w:rsid w:val="643B19AE"/>
    <w:rsid w:val="643D5426"/>
    <w:rsid w:val="64414AEB"/>
    <w:rsid w:val="64656A2B"/>
    <w:rsid w:val="649E3CEB"/>
    <w:rsid w:val="64BE613B"/>
    <w:rsid w:val="64D67929"/>
    <w:rsid w:val="64E11A27"/>
    <w:rsid w:val="65167D25"/>
    <w:rsid w:val="65336B29"/>
    <w:rsid w:val="657A0163"/>
    <w:rsid w:val="657B771F"/>
    <w:rsid w:val="659301F6"/>
    <w:rsid w:val="65B25CA0"/>
    <w:rsid w:val="65C6799D"/>
    <w:rsid w:val="66171FA7"/>
    <w:rsid w:val="665925BF"/>
    <w:rsid w:val="666176C6"/>
    <w:rsid w:val="666F3B91"/>
    <w:rsid w:val="668A0366"/>
    <w:rsid w:val="668C4743"/>
    <w:rsid w:val="6692787F"/>
    <w:rsid w:val="669C425A"/>
    <w:rsid w:val="66A6332B"/>
    <w:rsid w:val="66AD6467"/>
    <w:rsid w:val="67452B44"/>
    <w:rsid w:val="67470D70"/>
    <w:rsid w:val="67694A84"/>
    <w:rsid w:val="67852F40"/>
    <w:rsid w:val="6793565D"/>
    <w:rsid w:val="67CE48E7"/>
    <w:rsid w:val="67FA440A"/>
    <w:rsid w:val="68106CAE"/>
    <w:rsid w:val="68420E31"/>
    <w:rsid w:val="6844104D"/>
    <w:rsid w:val="68617509"/>
    <w:rsid w:val="68955405"/>
    <w:rsid w:val="68CE1DC5"/>
    <w:rsid w:val="68D45F2D"/>
    <w:rsid w:val="68E24A00"/>
    <w:rsid w:val="69D837FB"/>
    <w:rsid w:val="69DC4818"/>
    <w:rsid w:val="6A2C5734"/>
    <w:rsid w:val="6A3F7D1E"/>
    <w:rsid w:val="6A775937"/>
    <w:rsid w:val="6AAB53B4"/>
    <w:rsid w:val="6AB51D8E"/>
    <w:rsid w:val="6ABA73A5"/>
    <w:rsid w:val="6ABF49BB"/>
    <w:rsid w:val="6ACA3A8C"/>
    <w:rsid w:val="6AFF300A"/>
    <w:rsid w:val="6B0D3978"/>
    <w:rsid w:val="6B2D5DC9"/>
    <w:rsid w:val="6B3451DC"/>
    <w:rsid w:val="6B4D72A6"/>
    <w:rsid w:val="6B7632CC"/>
    <w:rsid w:val="6BBA58AE"/>
    <w:rsid w:val="6BE24E05"/>
    <w:rsid w:val="6BF9175E"/>
    <w:rsid w:val="6C101972"/>
    <w:rsid w:val="6C240F7A"/>
    <w:rsid w:val="6CDE737B"/>
    <w:rsid w:val="6CEC1C46"/>
    <w:rsid w:val="6CFC634B"/>
    <w:rsid w:val="6D2C27DC"/>
    <w:rsid w:val="6D9749B3"/>
    <w:rsid w:val="6E251A10"/>
    <w:rsid w:val="6E361111"/>
    <w:rsid w:val="6E535B46"/>
    <w:rsid w:val="6E763603"/>
    <w:rsid w:val="6E934195"/>
    <w:rsid w:val="6EF63490"/>
    <w:rsid w:val="6F1057E5"/>
    <w:rsid w:val="6F141779"/>
    <w:rsid w:val="6F1928EC"/>
    <w:rsid w:val="6F51652A"/>
    <w:rsid w:val="6F991C7F"/>
    <w:rsid w:val="6FEF5D43"/>
    <w:rsid w:val="70871AD7"/>
    <w:rsid w:val="70A369B7"/>
    <w:rsid w:val="70CA3CD6"/>
    <w:rsid w:val="713E2ADE"/>
    <w:rsid w:val="71A14E1B"/>
    <w:rsid w:val="71C823A7"/>
    <w:rsid w:val="71CA25C3"/>
    <w:rsid w:val="71D16318"/>
    <w:rsid w:val="720A22EC"/>
    <w:rsid w:val="72AE3C93"/>
    <w:rsid w:val="72BF37AA"/>
    <w:rsid w:val="72C47013"/>
    <w:rsid w:val="72DA05E4"/>
    <w:rsid w:val="731215F5"/>
    <w:rsid w:val="73125FD0"/>
    <w:rsid w:val="73223D39"/>
    <w:rsid w:val="732D4BB8"/>
    <w:rsid w:val="7332611C"/>
    <w:rsid w:val="734D7008"/>
    <w:rsid w:val="737C5B3F"/>
    <w:rsid w:val="73A82490"/>
    <w:rsid w:val="73BE5B01"/>
    <w:rsid w:val="73D9089C"/>
    <w:rsid w:val="73EF00BF"/>
    <w:rsid w:val="74116287"/>
    <w:rsid w:val="741E6BF6"/>
    <w:rsid w:val="74305732"/>
    <w:rsid w:val="744049FF"/>
    <w:rsid w:val="744A51FA"/>
    <w:rsid w:val="74B92901"/>
    <w:rsid w:val="74E67512"/>
    <w:rsid w:val="751A5610"/>
    <w:rsid w:val="753B10E2"/>
    <w:rsid w:val="755A1EB0"/>
    <w:rsid w:val="75680129"/>
    <w:rsid w:val="756E5A5A"/>
    <w:rsid w:val="76022B63"/>
    <w:rsid w:val="76BC122C"/>
    <w:rsid w:val="76F123A0"/>
    <w:rsid w:val="772C33D8"/>
    <w:rsid w:val="773C4E5C"/>
    <w:rsid w:val="77530965"/>
    <w:rsid w:val="77690189"/>
    <w:rsid w:val="778925D9"/>
    <w:rsid w:val="77D575CC"/>
    <w:rsid w:val="783207F7"/>
    <w:rsid w:val="785E5813"/>
    <w:rsid w:val="786A065C"/>
    <w:rsid w:val="787D213D"/>
    <w:rsid w:val="789D458E"/>
    <w:rsid w:val="78A27570"/>
    <w:rsid w:val="78C530C2"/>
    <w:rsid w:val="78DE6954"/>
    <w:rsid w:val="78F10436"/>
    <w:rsid w:val="793D367B"/>
    <w:rsid w:val="795B6A5D"/>
    <w:rsid w:val="79703A50"/>
    <w:rsid w:val="797D616D"/>
    <w:rsid w:val="79802CF3"/>
    <w:rsid w:val="799C32AA"/>
    <w:rsid w:val="79A050F6"/>
    <w:rsid w:val="79A61220"/>
    <w:rsid w:val="7A010B4C"/>
    <w:rsid w:val="7A2C0161"/>
    <w:rsid w:val="7A460C55"/>
    <w:rsid w:val="7A5944E4"/>
    <w:rsid w:val="7A6B246A"/>
    <w:rsid w:val="7A74131E"/>
    <w:rsid w:val="7A8F7F06"/>
    <w:rsid w:val="7AB46266"/>
    <w:rsid w:val="7ACD0A2E"/>
    <w:rsid w:val="7ADF59FA"/>
    <w:rsid w:val="7AF661D7"/>
    <w:rsid w:val="7AF83CFD"/>
    <w:rsid w:val="7B0326A2"/>
    <w:rsid w:val="7B05200B"/>
    <w:rsid w:val="7B0E1773"/>
    <w:rsid w:val="7B1F088B"/>
    <w:rsid w:val="7B6A461A"/>
    <w:rsid w:val="7B74407A"/>
    <w:rsid w:val="7BA479E1"/>
    <w:rsid w:val="7BB2023F"/>
    <w:rsid w:val="7BBC11CF"/>
    <w:rsid w:val="7BBC483D"/>
    <w:rsid w:val="7BC938EC"/>
    <w:rsid w:val="7BCB7664"/>
    <w:rsid w:val="7BD007D6"/>
    <w:rsid w:val="7BD63614"/>
    <w:rsid w:val="7BF72207"/>
    <w:rsid w:val="7BFC15CB"/>
    <w:rsid w:val="7C0C5586"/>
    <w:rsid w:val="7C23124E"/>
    <w:rsid w:val="7C4F3DF1"/>
    <w:rsid w:val="7C6D24C9"/>
    <w:rsid w:val="7C7D5FD1"/>
    <w:rsid w:val="7CC02BFB"/>
    <w:rsid w:val="7CDC31AB"/>
    <w:rsid w:val="7CDE6F23"/>
    <w:rsid w:val="7DD165CD"/>
    <w:rsid w:val="7E190053"/>
    <w:rsid w:val="7E5E47BF"/>
    <w:rsid w:val="7E68119A"/>
    <w:rsid w:val="7EF1538C"/>
    <w:rsid w:val="7F1629A4"/>
    <w:rsid w:val="7F8475FA"/>
    <w:rsid w:val="7F8E4C30"/>
    <w:rsid w:val="7F9935D5"/>
    <w:rsid w:val="7FC35185"/>
    <w:rsid w:val="7FC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annotation text"/>
    <w:basedOn w:val="1"/>
    <w:link w:val="25"/>
    <w:autoRedefine/>
    <w:semiHidden/>
    <w:unhideWhenUsed/>
    <w:qFormat/>
    <w:uiPriority w:val="99"/>
    <w:pPr>
      <w:jc w:val="left"/>
    </w:pPr>
  </w:style>
  <w:style w:type="paragraph" w:styleId="5">
    <w:name w:val="Body Text"/>
    <w:basedOn w:val="1"/>
    <w:next w:val="1"/>
    <w:unhideWhenUsed/>
    <w:qFormat/>
    <w:uiPriority w:val="99"/>
    <w:pPr>
      <w:spacing w:after="120"/>
    </w:pPr>
  </w:style>
  <w:style w:type="paragraph" w:styleId="6">
    <w:name w:val="Balloon Text"/>
    <w:basedOn w:val="1"/>
    <w:link w:val="24"/>
    <w:autoRedefine/>
    <w:semiHidden/>
    <w:unhideWhenUsed/>
    <w:qFormat/>
    <w:uiPriority w:val="99"/>
    <w:rPr>
      <w:rFonts w:ascii="Times New Roman" w:hAnsi="Times New Roman" w:eastAsia="仿宋_GB2312" w:cs="Times New Roman"/>
      <w:spacing w:val="10"/>
      <w:sz w:val="18"/>
      <w:szCs w:val="18"/>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26"/>
    <w:autoRedefine/>
    <w:semiHidden/>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FollowedHyperlink"/>
    <w:basedOn w:val="14"/>
    <w:autoRedefine/>
    <w:semiHidden/>
    <w:unhideWhenUsed/>
    <w:qFormat/>
    <w:uiPriority w:val="99"/>
    <w:rPr>
      <w:color w:val="800080"/>
      <w:sz w:val="20"/>
      <w:szCs w:val="20"/>
      <w:u w:val="single"/>
    </w:rPr>
  </w:style>
  <w:style w:type="character" w:styleId="17">
    <w:name w:val="Hyperlink"/>
    <w:basedOn w:val="14"/>
    <w:autoRedefine/>
    <w:semiHidden/>
    <w:unhideWhenUsed/>
    <w:qFormat/>
    <w:uiPriority w:val="99"/>
    <w:rPr>
      <w:color w:val="0000FF"/>
      <w:sz w:val="20"/>
      <w:szCs w:val="20"/>
      <w:u w:val="single"/>
    </w:rPr>
  </w:style>
  <w:style w:type="character" w:styleId="18">
    <w:name w:val="annotation reference"/>
    <w:basedOn w:val="14"/>
    <w:autoRedefine/>
    <w:semiHidden/>
    <w:unhideWhenUsed/>
    <w:qFormat/>
    <w:uiPriority w:val="99"/>
    <w:rPr>
      <w:sz w:val="21"/>
      <w:szCs w:val="21"/>
    </w:rPr>
  </w:style>
  <w:style w:type="paragraph" w:customStyle="1" w:styleId="19">
    <w:name w:val="tableheader"/>
    <w:basedOn w:val="1"/>
    <w:autoRedefine/>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20">
    <w:name w:val="页眉 Char"/>
    <w:basedOn w:val="14"/>
    <w:link w:val="8"/>
    <w:autoRedefine/>
    <w:qFormat/>
    <w:uiPriority w:val="0"/>
    <w:rPr>
      <w:rFonts w:ascii="Times New Roman" w:hAnsi="Times New Roman" w:eastAsia="宋体" w:cs="Times New Roman"/>
      <w:sz w:val="18"/>
      <w:szCs w:val="18"/>
    </w:rPr>
  </w:style>
  <w:style w:type="character" w:customStyle="1" w:styleId="21">
    <w:name w:val="页脚 Char"/>
    <w:basedOn w:val="14"/>
    <w:link w:val="7"/>
    <w:autoRedefine/>
    <w:qFormat/>
    <w:uiPriority w:val="99"/>
    <w:rPr>
      <w:sz w:val="18"/>
      <w:szCs w:val="18"/>
    </w:rPr>
  </w:style>
  <w:style w:type="paragraph" w:customStyle="1" w:styleId="22">
    <w:name w:val="首行缩进"/>
    <w:basedOn w:val="1"/>
    <w:autoRedefine/>
    <w:qFormat/>
    <w:uiPriority w:val="0"/>
    <w:pPr>
      <w:ind w:firstLine="480" w:firstLineChars="200"/>
    </w:pPr>
    <w:rPr>
      <w:rFonts w:ascii="Calibri" w:hAnsi="Calibri" w:eastAsia="仿宋" w:cs="Times New Roman"/>
      <w:sz w:val="28"/>
      <w:lang w:val="zh-CN"/>
    </w:rPr>
  </w:style>
  <w:style w:type="paragraph" w:styleId="23">
    <w:name w:val="List Paragraph"/>
    <w:basedOn w:val="1"/>
    <w:autoRedefine/>
    <w:qFormat/>
    <w:uiPriority w:val="34"/>
    <w:pPr>
      <w:ind w:firstLine="420" w:firstLineChars="200"/>
    </w:pPr>
  </w:style>
  <w:style w:type="character" w:customStyle="1" w:styleId="24">
    <w:name w:val="批注框文本 Char"/>
    <w:basedOn w:val="14"/>
    <w:link w:val="6"/>
    <w:autoRedefine/>
    <w:semiHidden/>
    <w:qFormat/>
    <w:uiPriority w:val="99"/>
    <w:rPr>
      <w:rFonts w:ascii="Times New Roman" w:hAnsi="Times New Roman" w:eastAsia="仿宋_GB2312" w:cs="Times New Roman"/>
      <w:spacing w:val="10"/>
      <w:sz w:val="18"/>
      <w:szCs w:val="18"/>
    </w:rPr>
  </w:style>
  <w:style w:type="character" w:customStyle="1" w:styleId="25">
    <w:name w:val="批注文字 Char"/>
    <w:basedOn w:val="14"/>
    <w:link w:val="4"/>
    <w:autoRedefine/>
    <w:semiHidden/>
    <w:qFormat/>
    <w:uiPriority w:val="99"/>
  </w:style>
  <w:style w:type="character" w:customStyle="1" w:styleId="26">
    <w:name w:val="批注主题 Char"/>
    <w:basedOn w:val="25"/>
    <w:link w:val="11"/>
    <w:autoRedefine/>
    <w:semiHidden/>
    <w:qFormat/>
    <w:uiPriority w:val="99"/>
    <w:rPr>
      <w:b/>
      <w:bCs/>
    </w:rPr>
  </w:style>
  <w:style w:type="character" w:customStyle="1" w:styleId="27">
    <w:name w:val="标题 1 Char"/>
    <w:basedOn w:val="14"/>
    <w:link w:val="2"/>
    <w:autoRedefine/>
    <w:qFormat/>
    <w:uiPriority w:val="9"/>
    <w:rPr>
      <w:b/>
      <w:bCs/>
      <w:kern w:val="44"/>
      <w:sz w:val="44"/>
      <w:szCs w:val="44"/>
    </w:rPr>
  </w:style>
  <w:style w:type="paragraph" w:customStyle="1" w:styleId="28">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character" w:customStyle="1" w:styleId="29">
    <w:name w:val="font51"/>
    <w:basedOn w:val="14"/>
    <w:qFormat/>
    <w:uiPriority w:val="0"/>
    <w:rPr>
      <w:rFonts w:ascii="仿宋_GB2312" w:eastAsia="仿宋_GB2312" w:cs="仿宋_GB2312"/>
      <w:color w:val="000000"/>
      <w:sz w:val="28"/>
      <w:szCs w:val="28"/>
      <w:u w:val="none"/>
    </w:rPr>
  </w:style>
  <w:style w:type="character" w:customStyle="1" w:styleId="30">
    <w:name w:val="font21"/>
    <w:basedOn w:val="14"/>
    <w:qFormat/>
    <w:uiPriority w:val="0"/>
    <w:rPr>
      <w:rFonts w:hint="eastAsia" w:ascii="宋体" w:hAnsi="宋体" w:eastAsia="宋体" w:cs="宋体"/>
      <w:color w:val="000000"/>
      <w:sz w:val="28"/>
      <w:szCs w:val="28"/>
      <w:u w:val="none"/>
    </w:rPr>
  </w:style>
  <w:style w:type="character" w:customStyle="1" w:styleId="31">
    <w:name w:val="font31"/>
    <w:basedOn w:val="14"/>
    <w:qFormat/>
    <w:uiPriority w:val="0"/>
    <w:rPr>
      <w:rFonts w:hint="default" w:ascii="Times New Roman" w:hAnsi="Times New Roman" w:cs="Times New Roman"/>
      <w:color w:val="000000"/>
      <w:sz w:val="28"/>
      <w:szCs w:val="28"/>
      <w:u w:val="none"/>
    </w:rPr>
  </w:style>
  <w:style w:type="character" w:customStyle="1" w:styleId="32">
    <w:name w:val="font41"/>
    <w:basedOn w:val="14"/>
    <w:qFormat/>
    <w:uiPriority w:val="0"/>
    <w:rPr>
      <w:rFonts w:hint="eastAsia" w:ascii="仿宋_GB2312" w:eastAsia="仿宋_GB2312" w:cs="仿宋_GB2312"/>
      <w:color w:val="000000"/>
      <w:sz w:val="28"/>
      <w:szCs w:val="28"/>
      <w:u w:val="none"/>
    </w:rPr>
  </w:style>
  <w:style w:type="character" w:customStyle="1" w:styleId="33">
    <w:name w:val="font11"/>
    <w:basedOn w:val="14"/>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4</Pages>
  <Words>3841</Words>
  <Characters>4048</Characters>
  <Lines>26</Lines>
  <Paragraphs>7</Paragraphs>
  <TotalTime>1</TotalTime>
  <ScaleCrop>false</ScaleCrop>
  <LinksUpToDate>false</LinksUpToDate>
  <CharactersWithSpaces>4115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2026-01-13T09:53:00Z</dcterms:created>
  <dc:creator>张婷婷</dc:creator>
  <cp:lastModifiedBy>SMN</cp:lastModifiedBy>
  <cp:lastPrinted>2024-05-27T08:56:00Z</cp:lastPrinted>
  <dcterms:modified xsi:type="dcterms:W3CDTF">2026-01-21T04:15:35Z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1E57CCA9D5A6433F9522C44917B2A5EA_13</vt:lpwstr>
  </property>
  <property fmtid="{D5CDD505-2E9C-101B-9397-08002B2CF9AE}" pid="4" name="KSOTemplateDocerSaveRecord">
    <vt:lpwstr>eyJoZGlkIjoiYjM1OWRhNGE4NzczZWQzMTM4MDcyMWQ4NjdlMGViYTIiLCJ1c2VySWQiOiIzNDQ0ODA3MjQifQ==</vt:lpwstr>
  </property>
</Properties>
</file>